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天津财经大学珠江学院</w:t>
      </w:r>
    </w:p>
    <w:p>
      <w:pPr>
        <w:widowControl/>
        <w:shd w:val="clear" w:color="auto" w:fill="FFFFFF"/>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2025年高职升本科招生章程</w:t>
      </w:r>
    </w:p>
    <w:p>
      <w:pPr>
        <w:contextualSpacing/>
        <w:jc w:val="center"/>
        <w:rPr>
          <w:rFonts w:hint="eastAsia" w:ascii="黑体" w:hAnsi="黑体" w:eastAsia="黑体" w:cs="Times New Roman"/>
          <w:sz w:val="32"/>
          <w:szCs w:val="32"/>
        </w:rPr>
      </w:pPr>
    </w:p>
    <w:p>
      <w:pPr>
        <w:contextualSpacing/>
        <w:jc w:val="center"/>
        <w:rPr>
          <w:rFonts w:hint="eastAsia" w:ascii="黑体" w:hAnsi="黑体" w:eastAsia="黑体" w:cs="Times New Roman"/>
          <w:sz w:val="32"/>
          <w:szCs w:val="32"/>
        </w:rPr>
      </w:pPr>
      <w:r>
        <w:rPr>
          <w:rFonts w:hint="eastAsia" w:ascii="黑体" w:hAnsi="黑体" w:eastAsia="黑体" w:cs="Times New Roman"/>
          <w:sz w:val="32"/>
          <w:szCs w:val="32"/>
        </w:rPr>
        <w:t xml:space="preserve">第一章 </w:t>
      </w:r>
      <w:bookmarkStart w:id="1" w:name="_GoBack"/>
      <w:bookmarkEnd w:id="1"/>
      <w:r>
        <w:rPr>
          <w:rFonts w:hint="eastAsia" w:ascii="黑体" w:hAnsi="黑体" w:eastAsia="黑体" w:cs="Times New Roman"/>
          <w:sz w:val="32"/>
          <w:szCs w:val="32"/>
        </w:rPr>
        <w:t>总则</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第一条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根据《中华人民共和国教育法》、《中华人民共和国高等教育法》等相关法律法规，为了维护学校和考生的合法权益，依法招生，结合天津财经大学珠江学院高职升本科招生工作实际，制定本章程。</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第二条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本章程是社会了解天津财经大学珠江学院高职升本科招生政策、规定及相关信息的主要渠道，是天津财经大学珠江学院开展高职升本科招生咨询和录取工作的主要依据。</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第三条</w:t>
      </w:r>
      <w:r>
        <w:rPr>
          <w:rFonts w:ascii="仿宋_GB2312" w:hAnsi="Times New Roman" w:eastAsia="仿宋_GB2312" w:cs="Times New Roman"/>
          <w:sz w:val="32"/>
          <w:szCs w:val="32"/>
        </w:rPr>
        <w:t xml:space="preserve"> 学校概况</w:t>
      </w:r>
    </w:p>
    <w:p>
      <w:pPr>
        <w:pStyle w:val="21"/>
        <w:numPr>
          <w:ilvl w:val="0"/>
          <w:numId w:val="1"/>
        </w:numPr>
        <w:ind w:firstLineChars="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学校名称：天津财经大学珠江学院</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二、办学类型：独立学院</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三、办学层次：本科</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四、学校代码：</w:t>
      </w:r>
      <w:r>
        <w:rPr>
          <w:rFonts w:hint="eastAsia" w:ascii="仿宋_GB2312" w:hAnsi="Times New Roman" w:eastAsia="仿宋_GB2312" w:cs="Times New Roman"/>
          <w:sz w:val="32"/>
          <w:szCs w:val="32"/>
        </w:rPr>
        <w:t>14087</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五、学校地址：</w:t>
      </w:r>
      <w:r>
        <w:rPr>
          <w:rFonts w:ascii="仿宋_GB2312" w:hAnsi="宋体" w:eastAsia="仿宋_GB2312" w:cs="Times New Roman"/>
          <w:sz w:val="32"/>
          <w:szCs w:val="32"/>
        </w:rPr>
        <w:t>天津市宝坻区周良街道祥瑞大街18号</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六、学校简介</w:t>
      </w:r>
    </w:p>
    <w:p>
      <w:pPr>
        <w:ind w:firstLine="640" w:firstLineChars="200"/>
        <w:contextualSpacing/>
        <w:rPr>
          <w:rFonts w:hint="eastAsia" w:ascii="仿宋_GB2312" w:hAnsi="宋体" w:eastAsia="仿宋_GB2312" w:cs="Times New Roman"/>
          <w:sz w:val="32"/>
          <w:szCs w:val="32"/>
        </w:rPr>
      </w:pPr>
      <w:r>
        <w:rPr>
          <w:rFonts w:ascii="仿宋_GB2312" w:hAnsi="宋体" w:eastAsia="仿宋_GB2312" w:cs="Times New Roman"/>
          <w:sz w:val="32"/>
          <w:szCs w:val="32"/>
        </w:rPr>
        <w:t>天津财经大学珠江学院成立于2006年，是经教育部批准、由天津财经大学与广东珠江投资股份有限公司按照独立学院模式和机制合作建立的一所本科层次的普通高等院校。学院的举办方实力雄厚，举办方之一的天津财经大学系新中国最早建立的财经大学之一，是天津市属重点大学和我国北方培养高级经济管理人才的重要基地；另一举办方广东珠江投资股份有限公司，系一家集城市更新、能源与基础设施、商业、产业、住宅、教育、医疗、文化、科技、金融十大业务板块于一体的大型多元化企业集团。</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天津财经大学珠江学院坐落于天津市宝坻区京津新城，毗邻津蓟高速公路。校区占地面积</w:t>
      </w:r>
      <w:r>
        <w:rPr>
          <w:rFonts w:hint="eastAsia" w:ascii="仿宋_GB2312" w:hAnsi="Times New Roman" w:eastAsia="仿宋_GB2312" w:cs="Times New Roman"/>
          <w:sz w:val="32"/>
          <w:szCs w:val="32"/>
        </w:rPr>
        <w:t>900</w:t>
      </w:r>
      <w:r>
        <w:rPr>
          <w:rFonts w:hint="eastAsia" w:ascii="仿宋_GB2312" w:hAnsi="宋体" w:eastAsia="仿宋_GB2312" w:cs="Times New Roman"/>
          <w:sz w:val="32"/>
          <w:szCs w:val="32"/>
        </w:rPr>
        <w:t>亩，办学设施完备。学院管理严格规范，秉持</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以学生为本、以质量立校</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的办学理念，致力于培养具有国际视野、创新与追求卓越精神、高度社会责任感和可持续发展潜质的应用型人才。</w:t>
      </w:r>
    </w:p>
    <w:p>
      <w:pPr>
        <w:ind w:firstLine="640" w:firstLineChars="200"/>
        <w:contextualSpacing/>
        <w:rPr>
          <w:rFonts w:ascii="仿宋_GB2312" w:hAnsi="Times New Roman" w:eastAsia="仿宋_GB2312" w:cs="Times New Roman"/>
          <w:sz w:val="32"/>
          <w:szCs w:val="32"/>
        </w:rPr>
      </w:pPr>
    </w:p>
    <w:p>
      <w:pPr>
        <w:contextualSpacing/>
        <w:jc w:val="center"/>
        <w:rPr>
          <w:rFonts w:hint="eastAsia" w:ascii="黑体" w:hAnsi="黑体" w:eastAsia="黑体" w:cs="Times New Roman"/>
          <w:sz w:val="32"/>
          <w:szCs w:val="32"/>
        </w:rPr>
      </w:pPr>
      <w:r>
        <w:rPr>
          <w:rFonts w:hint="eastAsia" w:ascii="黑体" w:hAnsi="黑体" w:eastAsia="黑体" w:cs="Times New Roman"/>
          <w:sz w:val="32"/>
          <w:szCs w:val="32"/>
        </w:rPr>
        <w:t>第二章 招生机构</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第四条</w:t>
      </w:r>
      <w:r>
        <w:rPr>
          <w:rFonts w:ascii="仿宋_GB2312" w:hAnsi="Times New Roman" w:eastAsia="仿宋_GB2312" w:cs="Times New Roman"/>
          <w:sz w:val="32"/>
          <w:szCs w:val="32"/>
        </w:rPr>
        <w:t xml:space="preserve"> 天</w:t>
      </w:r>
      <w:r>
        <w:rPr>
          <w:rFonts w:hint="eastAsia" w:ascii="仿宋_GB2312" w:hAnsi="Times New Roman" w:eastAsia="仿宋_GB2312" w:cs="Times New Roman"/>
          <w:sz w:val="32"/>
          <w:szCs w:val="32"/>
        </w:rPr>
        <w:t>津</w:t>
      </w:r>
      <w:r>
        <w:rPr>
          <w:rFonts w:hint="eastAsia" w:ascii="仿宋_GB2312" w:hAnsi="宋体" w:eastAsia="仿宋_GB2312" w:cs="Times New Roman"/>
          <w:sz w:val="32"/>
          <w:szCs w:val="32"/>
        </w:rPr>
        <w:t>财经大学珠江学院成立招生委员会，全面负责学院招生工作，制定招生政策、招生计划、讨论决定有关招生的重大事宜并监督招生工作的具体实施。</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第五条</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天</w:t>
      </w:r>
      <w:r>
        <w:rPr>
          <w:rFonts w:hint="eastAsia" w:ascii="仿宋_GB2312" w:hAnsi="宋体" w:eastAsia="仿宋_GB2312" w:cs="Times New Roman"/>
          <w:sz w:val="32"/>
          <w:szCs w:val="32"/>
        </w:rPr>
        <w:t>津财经大学珠江学院设有招生工作办公室，其为组织和实施招生工作的常设机构，负责招生的日常工作。</w:t>
      </w:r>
    </w:p>
    <w:p>
      <w:pPr>
        <w:ind w:firstLine="640" w:firstLineChars="200"/>
        <w:contextualSpacing/>
        <w:rPr>
          <w:rFonts w:hint="eastAsia" w:ascii="仿宋_GB2312" w:hAnsi="宋体" w:eastAsia="仿宋_GB2312" w:cs="Times New Roman"/>
          <w:sz w:val="32"/>
          <w:szCs w:val="32"/>
        </w:rPr>
      </w:pPr>
    </w:p>
    <w:p>
      <w:pPr>
        <w:contextualSpacing/>
        <w:jc w:val="center"/>
        <w:rPr>
          <w:rFonts w:hint="eastAsia" w:ascii="黑体" w:hAnsi="黑体" w:eastAsia="黑体" w:cs="Times New Roman"/>
          <w:sz w:val="32"/>
          <w:szCs w:val="32"/>
        </w:rPr>
      </w:pPr>
      <w:r>
        <w:rPr>
          <w:rFonts w:hint="eastAsia" w:ascii="黑体" w:hAnsi="黑体" w:eastAsia="黑体" w:cs="Times New Roman"/>
          <w:sz w:val="32"/>
          <w:szCs w:val="32"/>
        </w:rPr>
        <w:t>第三章 招生专业及收费标准</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第六条</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天津财经大学珠江学院高职升本科招生专业为工商管理、旅游管理、税收学、金融学、学前教育。具体专业计划数详见天津招考资讯网（www.zhaokao.net）或学院招生网站。</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第七条</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经天津市物价部门批准，工商管理、旅游管理、税收学、金融学、学前教育专业学费标准：每生每学年15000元，住宿费标准：每生每学年1500元（6人间）。收费标准如有调整，以我市物价主管部门批准的文件执行。</w:t>
      </w:r>
    </w:p>
    <w:p>
      <w:pPr>
        <w:ind w:firstLine="640" w:firstLineChars="200"/>
        <w:contextualSpacing/>
        <w:rPr>
          <w:rFonts w:hint="eastAsia" w:ascii="仿宋_GB2312" w:hAnsi="宋体" w:eastAsia="仿宋_GB2312" w:cs="Times New Roman"/>
          <w:sz w:val="32"/>
          <w:szCs w:val="32"/>
        </w:rPr>
      </w:pPr>
    </w:p>
    <w:p>
      <w:pPr>
        <w:contextualSpacing/>
        <w:jc w:val="center"/>
        <w:rPr>
          <w:rFonts w:hint="eastAsia" w:ascii="仿宋_GB2312" w:hAnsi="宋体" w:eastAsia="仿宋_GB2312" w:cs="Times New Roman"/>
          <w:sz w:val="32"/>
          <w:szCs w:val="32"/>
        </w:rPr>
      </w:pPr>
      <w:r>
        <w:rPr>
          <w:rFonts w:hint="eastAsia" w:ascii="黑体" w:hAnsi="黑体" w:eastAsia="黑体" w:cs="Times New Roman"/>
          <w:sz w:val="32"/>
          <w:szCs w:val="32"/>
        </w:rPr>
        <w:t>第四章 报名与考试</w:t>
      </w:r>
    </w:p>
    <w:p>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第八条 报名条件</w:t>
      </w:r>
    </w:p>
    <w:p>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（一）符合下列条件的人员，具备报名资格，可以申请报名:</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1.遵守中华人民共和国宪法和法律;</w:t>
      </w:r>
    </w:p>
    <w:p>
      <w:pPr>
        <w:ind w:left="640"/>
        <w:contextualSpacing/>
      </w:pPr>
      <w:r>
        <w:rPr>
          <w:rFonts w:hint="eastAsia" w:ascii="仿宋_GB2312" w:hAnsi="宋体" w:eastAsia="仿宋_GB2312" w:cs="Times New Roman"/>
          <w:sz w:val="32"/>
          <w:szCs w:val="32"/>
        </w:rPr>
        <w:t>2.身体健康状况符合国家有关规</w:t>
      </w:r>
      <w:r>
        <w:rPr>
          <w:rFonts w:hint="eastAsia" w:ascii="仿宋_GB2312" w:hAnsi="Times New Roman" w:eastAsia="仿宋_GB2312" w:cs="Times New Roman"/>
          <w:sz w:val="32"/>
          <w:szCs w:val="32"/>
        </w:rPr>
        <w:t>定;</w:t>
      </w:r>
    </w:p>
    <w:p>
      <w:pPr>
        <w:ind w:firstLine="640" w:firstLineChars="200"/>
        <w:contextualSpacing/>
        <w:rPr>
          <w:rFonts w:hint="eastAsia" w:ascii="仿宋_GB2312" w:hAnsi="宋体" w:eastAsia="仿宋_GB2312" w:cs="Times New Roman"/>
          <w:sz w:val="32"/>
          <w:szCs w:val="32"/>
        </w:rPr>
      </w:pPr>
      <w:r>
        <w:rPr>
          <w:rFonts w:ascii="仿宋_GB2312" w:hAnsi="宋体" w:eastAsia="仿宋_GB2312" w:cs="Times New Roman"/>
          <w:sz w:val="32"/>
          <w:szCs w:val="32"/>
        </w:rPr>
        <w:t>3</w:t>
      </w:r>
      <w:r>
        <w:rPr>
          <w:rFonts w:hint="eastAsia" w:ascii="仿宋_GB2312" w:hAnsi="宋体" w:eastAsia="仿宋_GB2312" w:cs="Times New Roman"/>
          <w:sz w:val="32"/>
          <w:szCs w:val="32"/>
        </w:rPr>
        <w:t>.参加普通高校全国统一考试且被本市普通高校或高职高专学校录取的应届高职高专毕业生;参加普通高校全国统一考试且被普通高校或高职高专学校录取、具有本市户籍的往届高职高专毕业生;参加普通高校全国统一考试被外省市高职高专学校录取的，具有本市户籍的应届高职高专毕业生。</w:t>
      </w:r>
    </w:p>
    <w:p>
      <w:pPr>
        <w:ind w:firstLine="640" w:firstLineChars="200"/>
        <w:contextualSpacing/>
        <w:rPr>
          <w:rFonts w:hint="eastAsia" w:ascii="仿宋_GB2312" w:hAnsi="宋体" w:eastAsia="仿宋_GB2312" w:cs="Times New Roman"/>
          <w:sz w:val="32"/>
          <w:szCs w:val="32"/>
        </w:rPr>
      </w:pPr>
      <w:r>
        <w:rPr>
          <w:rFonts w:hint="eastAsia" w:ascii="仿宋_GB2312" w:hAnsi="Times New Roman" w:eastAsia="仿宋_GB2312" w:cs="Times New Roman"/>
          <w:sz w:val="32"/>
          <w:szCs w:val="32"/>
        </w:rPr>
        <w:t>（二）</w:t>
      </w:r>
      <w:r>
        <w:rPr>
          <w:rFonts w:hint="eastAsia" w:ascii="仿宋_GB2312" w:hAnsi="宋体" w:eastAsia="仿宋_GB2312" w:cs="Times New Roman"/>
          <w:sz w:val="32"/>
          <w:szCs w:val="32"/>
        </w:rPr>
        <w:t>下列人员不得报名:</w:t>
      </w:r>
    </w:p>
    <w:p>
      <w:pPr>
        <w:ind w:firstLine="640" w:firstLineChars="200"/>
        <w:contextualSpacing/>
        <w:rPr>
          <w:rFonts w:hint="eastAsia" w:ascii="仿宋_GB2312" w:hAnsi="宋体" w:eastAsia="仿宋_GB2312" w:cs="Times New Roman"/>
          <w:sz w:val="32"/>
          <w:szCs w:val="32"/>
        </w:rPr>
      </w:pPr>
      <w:r>
        <w:rPr>
          <w:rFonts w:ascii="仿宋_GB2312" w:hAnsi="宋体" w:eastAsia="仿宋_GB2312" w:cs="Times New Roman"/>
          <w:sz w:val="32"/>
          <w:szCs w:val="32"/>
        </w:rPr>
        <w:t>1</w:t>
      </w:r>
      <w:r>
        <w:rPr>
          <w:rFonts w:hint="eastAsia" w:ascii="仿宋_GB2312" w:hAnsi="宋体" w:eastAsia="仿宋_GB2312" w:cs="Times New Roman"/>
          <w:sz w:val="32"/>
          <w:szCs w:val="32"/>
        </w:rPr>
        <w:t>.普通高等学校及高职高专学校应届毕业生之外的在校生；</w:t>
      </w:r>
    </w:p>
    <w:p>
      <w:pPr>
        <w:keepNext w:val="0"/>
        <w:keepLines w:val="0"/>
        <w:widowControl/>
        <w:suppressLineNumbers w:val="0"/>
        <w:ind w:firstLine="640" w:firstLineChars="200"/>
        <w:contextualSpacing/>
        <w:jc w:val="left"/>
        <w:rPr>
          <w:rFonts w:ascii="仿宋_GB2312" w:hAnsi="宋体" w:eastAsia="仿宋_GB2312" w:cs="Times New Roman"/>
          <w:sz w:val="32"/>
          <w:szCs w:val="32"/>
        </w:rPr>
      </w:pPr>
      <w:r>
        <w:rPr>
          <w:rFonts w:ascii="仿宋_GB2312" w:hAnsi="宋体" w:eastAsia="仿宋_GB2312" w:cs="Times New Roman"/>
          <w:sz w:val="32"/>
          <w:szCs w:val="32"/>
        </w:rPr>
        <w:t>2</w:t>
      </w:r>
      <w:r>
        <w:rPr>
          <w:rFonts w:hint="eastAsia" w:ascii="仿宋_GB2312" w:hAnsi="宋体" w:eastAsia="仿宋_GB2312" w:cs="Times New Roman"/>
          <w:sz w:val="32"/>
          <w:szCs w:val="32"/>
        </w:rPr>
        <w:t>.因违反国家教育考试规定，被取消报名资格或入学资格者；</w:t>
      </w:r>
    </w:p>
    <w:p>
      <w:pPr>
        <w:keepNext w:val="0"/>
        <w:keepLines w:val="0"/>
        <w:widowControl/>
        <w:suppressLineNumbers w:val="0"/>
        <w:ind w:firstLine="640" w:firstLineChars="200"/>
        <w:contextualSpacing/>
        <w:jc w:val="left"/>
      </w:pPr>
      <w:r>
        <w:rPr>
          <w:rFonts w:ascii="仿宋_GB2312" w:hAnsi="宋体" w:eastAsia="仿宋_GB2312" w:cs="Times New Roman"/>
          <w:sz w:val="32"/>
          <w:szCs w:val="32"/>
        </w:rPr>
        <w:t>3</w:t>
      </w:r>
      <w:r>
        <w:rPr>
          <w:rFonts w:hint="eastAsia" w:ascii="仿宋_GB2312" w:hAnsi="宋体" w:eastAsia="仿宋_GB2312" w:cs="Times New Roman"/>
          <w:sz w:val="32"/>
          <w:szCs w:val="32"/>
        </w:rPr>
        <w:t>.</w:t>
      </w:r>
      <w:r>
        <w:rPr>
          <w:rFonts w:ascii="仿宋_GB2312" w:hAnsi="宋体" w:eastAsia="仿宋_GB2312" w:cs="仿宋_GB2312"/>
          <w:color w:val="000000"/>
          <w:kern w:val="0"/>
          <w:sz w:val="31"/>
          <w:szCs w:val="31"/>
          <w:lang w:val="en-US" w:eastAsia="zh-CN" w:bidi="ar"/>
        </w:rPr>
        <w:t>因触犯刑法受到刑事处罚、尚在处罚期内的。</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第九条 前置专业要求：</w:t>
      </w:r>
    </w:p>
    <w:p>
      <w:pPr>
        <w:ind w:firstLine="64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1.根据人才培养要求，报考学前教育专业的考生(包括退役士兵考生）高职毕业专业须为以下之一：</w:t>
      </w:r>
      <w:r>
        <w:rPr>
          <w:rFonts w:ascii="仿宋_GB2312" w:hAnsi="宋体" w:eastAsia="仿宋_GB2312" w:cs="Times New Roman"/>
          <w:sz w:val="32"/>
          <w:szCs w:val="32"/>
        </w:rPr>
        <w:t xml:space="preserve"> </w:t>
      </w:r>
    </w:p>
    <w:tbl>
      <w:tblPr>
        <w:tblStyle w:val="9"/>
        <w:tblW w:w="7846" w:type="dxa"/>
        <w:jc w:val="center"/>
        <w:tblLayout w:type="fixed"/>
        <w:tblCellMar>
          <w:top w:w="0" w:type="dxa"/>
          <w:left w:w="108" w:type="dxa"/>
          <w:bottom w:w="0" w:type="dxa"/>
          <w:right w:w="108" w:type="dxa"/>
        </w:tblCellMar>
      </w:tblPr>
      <w:tblGrid>
        <w:gridCol w:w="1138"/>
        <w:gridCol w:w="2113"/>
        <w:gridCol w:w="4595"/>
      </w:tblGrid>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heme="minorEastAsia" w:hAnsiTheme="minorEastAsia" w:cstheme="minorEastAsia"/>
                <w:b/>
                <w:bCs/>
                <w:color w:val="000000"/>
                <w:kern w:val="0"/>
                <w:sz w:val="24"/>
                <w:lang w:bidi="ar"/>
              </w:rPr>
            </w:pPr>
            <w:r>
              <w:rPr>
                <w:rFonts w:hint="eastAsia" w:asciiTheme="minorEastAsia" w:hAnsiTheme="minorEastAsia" w:cstheme="minorEastAsia"/>
                <w:b/>
                <w:bCs/>
                <w:color w:val="000000"/>
                <w:kern w:val="0"/>
                <w:sz w:val="24"/>
                <w:szCs w:val="24"/>
                <w:lang w:bidi="ar"/>
              </w:rPr>
              <w:t>序号</w:t>
            </w:r>
          </w:p>
        </w:tc>
        <w:tc>
          <w:tcPr>
            <w:tcW w:w="2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heme="minorEastAsia" w:hAnsiTheme="minorEastAsia" w:cstheme="minorEastAsia"/>
                <w:b/>
                <w:bCs/>
                <w:color w:val="000000"/>
                <w:sz w:val="24"/>
              </w:rPr>
            </w:pPr>
            <w:r>
              <w:rPr>
                <w:rFonts w:hint="eastAsia" w:asciiTheme="minorEastAsia" w:hAnsiTheme="minorEastAsia" w:cstheme="minorEastAsia"/>
                <w:b/>
                <w:bCs/>
                <w:color w:val="000000"/>
                <w:kern w:val="0"/>
                <w:sz w:val="24"/>
                <w:szCs w:val="24"/>
                <w:lang w:bidi="ar"/>
              </w:rPr>
              <w:t>专业代码</w:t>
            </w:r>
          </w:p>
        </w:tc>
        <w:tc>
          <w:tcPr>
            <w:tcW w:w="4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heme="minorEastAsia" w:hAnsiTheme="minorEastAsia" w:cstheme="minorEastAsia"/>
                <w:b/>
                <w:bCs/>
                <w:color w:val="000000"/>
                <w:sz w:val="24"/>
              </w:rPr>
            </w:pPr>
            <w:r>
              <w:rPr>
                <w:rFonts w:hint="eastAsia" w:asciiTheme="minorEastAsia" w:hAnsiTheme="minorEastAsia" w:cstheme="minorEastAsia"/>
                <w:b/>
                <w:bCs/>
                <w:color w:val="000000"/>
                <w:kern w:val="0"/>
                <w:sz w:val="24"/>
                <w:szCs w:val="24"/>
                <w:lang w:bidi="ar"/>
              </w:rPr>
              <w:t>专业名称</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570101</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早期教育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2</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570102</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学前教育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3</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570103</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小学教育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4</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570104</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小学语文教育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5</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570105</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小学数学教育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6</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570106</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小学英语教育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7</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570107</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小学科学教育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8</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570116</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心理健康教育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9</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570115</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现代教育技术</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10</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570111</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小学道德与法治教育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11</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570108</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音乐教育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12</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570109</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美术教育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13</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570110</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体育教育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14</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570112</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舞蹈教育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15</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570113</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艺术教育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16</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570114</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特殊教育</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17</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520802</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婴幼儿托育服务与管理</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18</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570316</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体育艺术表演</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19</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570306</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体育保健与康复</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20</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550201</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音乐表演</w:t>
            </w:r>
          </w:p>
        </w:tc>
      </w:tr>
      <w:tr>
        <w:tblPrEx>
          <w:tblCellMar>
            <w:top w:w="0" w:type="dxa"/>
            <w:left w:w="108" w:type="dxa"/>
            <w:bottom w:w="0" w:type="dxa"/>
            <w:right w:w="108" w:type="dxa"/>
          </w:tblCellMar>
        </w:tblPrEx>
        <w:trPr>
          <w:trHeight w:val="285" w:hRule="atLeast"/>
          <w:jc w:val="center"/>
        </w:trPr>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kern w:val="0"/>
                <w:sz w:val="24"/>
                <w:lang w:bidi="ar"/>
              </w:rPr>
            </w:pPr>
            <w:r>
              <w:rPr>
                <w:rFonts w:hint="eastAsia" w:asciiTheme="minorEastAsia" w:hAnsiTheme="minorEastAsia" w:cstheme="minorEastAsia"/>
                <w:color w:val="000000"/>
                <w:kern w:val="0"/>
                <w:sz w:val="24"/>
                <w:szCs w:val="24"/>
                <w:lang w:bidi="ar"/>
              </w:rPr>
              <w:t>21</w:t>
            </w:r>
          </w:p>
        </w:tc>
        <w:tc>
          <w:tcPr>
            <w:tcW w:w="21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550202</w:t>
            </w:r>
          </w:p>
        </w:tc>
        <w:tc>
          <w:tcPr>
            <w:tcW w:w="45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sz w:val="24"/>
              </w:rPr>
            </w:pPr>
            <w:r>
              <w:rPr>
                <w:rFonts w:hint="eastAsia" w:asciiTheme="minorEastAsia" w:hAnsiTheme="minorEastAsia" w:cstheme="minorEastAsia"/>
                <w:color w:val="000000"/>
                <w:kern w:val="0"/>
                <w:sz w:val="24"/>
                <w:szCs w:val="24"/>
                <w:lang w:bidi="ar"/>
              </w:rPr>
              <w:t>舞蹈表演</w:t>
            </w:r>
          </w:p>
        </w:tc>
      </w:tr>
    </w:tbl>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被录取的考生须在报到时提供毕业证书原件，如毕业专业（以考生学信网专业名称为依据进行审核）不符合报考条件，不予注册学籍。</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2.其他专业无前置专业要求。</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第十条 报考我院高职升本科各专业的考生，须完成天津市高职升本科文化考试报名相关手续，并在规定时间完成我院专业考试报名手续。专业报名安排详见学院招生官网。</w:t>
      </w:r>
    </w:p>
    <w:p>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第十一条 考试安排</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1.考试分为文化考试和专业考试两部分。文化考试由天津市教育招生考试院统一组织实施，专业考试由我院组织。</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2.专业考试满分200分。专业考试时间、地点等具体安排另行通知，考生可通过学院招生官网查看相关事项的通知。</w:t>
      </w:r>
    </w:p>
    <w:p>
      <w:pPr>
        <w:ind w:firstLine="640" w:firstLineChars="200"/>
        <w:contextualSpacing/>
        <w:rPr>
          <w:rFonts w:hint="eastAsia" w:ascii="仿宋_GB2312" w:hAnsi="宋体" w:eastAsia="仿宋_GB2312" w:cs="Times New Roman"/>
          <w:sz w:val="32"/>
          <w:szCs w:val="32"/>
        </w:rPr>
      </w:pPr>
    </w:p>
    <w:p>
      <w:pPr>
        <w:contextualSpacing/>
        <w:jc w:val="center"/>
        <w:rPr>
          <w:rFonts w:hint="eastAsia" w:ascii="黑体" w:hAnsi="黑体" w:eastAsia="黑体" w:cs="Times New Roman"/>
          <w:sz w:val="32"/>
          <w:szCs w:val="32"/>
        </w:rPr>
      </w:pPr>
      <w:r>
        <w:rPr>
          <w:rFonts w:hint="eastAsia" w:ascii="黑体" w:hAnsi="黑体" w:eastAsia="黑体" w:cs="Times New Roman"/>
          <w:sz w:val="32"/>
          <w:szCs w:val="32"/>
        </w:rPr>
        <w:t>第五章 录取规则</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第十二条</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招生录取工作遵循公平竞争、公正选拔、公开程序的原则，严格执行国家教育部和天津市招生委员会制定的录取政策，及本章程公布的有关规定。在参加天津市文化考试和我院专业考试的考生中，根据考生志愿，对思想政治品德考核合格、身体状况符合相关专业培养要求的考生，以文化考试与专业考试相加的总成绩为主要依据，择优录取。录取过程中，自觉接受市招生委员会、纪检监察部门、考生和社会各界的监督。</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第十三条</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平行志愿录取执行天津市教育招生考试院的录取规定。</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第十四条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总成绩相同时优先录取专业成绩较高的考生；若专业成绩仍相同，则按照文化成绩中大学英语、高等数学或语文基础顺序，优先录取单科成绩较高的考生。</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第十五条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依照教育部、卫生部、中国残疾人联合会颁布的《普通高等学校招生体检工作指导意见》，对考生身体健康状况进行审查和复查，对不符合标准的按指导意见的相关规定处理。</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第十六条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高职升本科招生专业公共外语课程均为英语，小语种考生慎重填报。</w:t>
      </w:r>
    </w:p>
    <w:p>
      <w:pPr>
        <w:ind w:firstLine="640" w:firstLineChars="200"/>
        <w:contextualSpacing/>
        <w:rPr>
          <w:rFonts w:hint="eastAsia" w:ascii="仿宋_GB2312" w:hAnsi="宋体" w:eastAsia="仿宋_GB2312" w:cs="Times New Roman"/>
          <w:sz w:val="32"/>
          <w:szCs w:val="32"/>
        </w:rPr>
      </w:pPr>
    </w:p>
    <w:p>
      <w:pPr>
        <w:contextualSpacing/>
        <w:jc w:val="center"/>
        <w:rPr>
          <w:rFonts w:hint="eastAsia" w:ascii="黑体" w:hAnsi="黑体" w:eastAsia="黑体" w:cs="Times New Roman"/>
          <w:sz w:val="32"/>
          <w:szCs w:val="32"/>
        </w:rPr>
      </w:pPr>
      <w:r>
        <w:rPr>
          <w:rFonts w:hint="eastAsia" w:ascii="黑体" w:hAnsi="黑体" w:eastAsia="黑体" w:cs="Times New Roman"/>
          <w:sz w:val="32"/>
          <w:szCs w:val="32"/>
        </w:rPr>
        <w:t>第六章 退役士兵招生工作</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第十七条 凡符合普通高职高专毕业生服义务兵退役条件的考生，由有关单位审查通过后，参加由天津市组织的高职升本科文化统一考试，无需报名参加我院组织的专业考试。根据退役士兵考生的文化考试成绩增加20分作为投档总分，按照文史类、理工类，凡达到所填报专业的录取最低文化分数线的考生，实行招生计划单列，单独录取。</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第十八条 根据教育部、中央军委国防动员部有关文件精神，从我市应征入伍的高职高专毕业生及在校生(含高校新生)，退役后完成高职高专学业的</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经有关单位严格按照规定的标准和程序审查后，可申请参加我院退役大学生士兵免试专升本招生(2025年3月退役且符合条件的退役大学生士兵单独组织一次报名，网上报名时间另行通知)。退役大学生士兵考生完成文化课报名后，免于参加文化课考试，需参加我院组织的职业技能综合考查，考查具体报名和测试办法另行通知。退役大学生士兵实行招生计划单列，单独录取。</w:t>
      </w:r>
    </w:p>
    <w:p>
      <w:pPr>
        <w:ind w:firstLine="640" w:firstLineChars="200"/>
        <w:contextualSpacing/>
        <w:rPr>
          <w:rFonts w:hint="eastAsia" w:ascii="仿宋_GB2312" w:hAnsi="宋体" w:eastAsia="仿宋_GB2312" w:cs="Times New Roman"/>
          <w:sz w:val="32"/>
          <w:szCs w:val="32"/>
        </w:rPr>
      </w:pPr>
    </w:p>
    <w:p>
      <w:pPr>
        <w:contextualSpacing/>
        <w:jc w:val="center"/>
        <w:rPr>
          <w:rFonts w:hint="eastAsia" w:ascii="黑体" w:hAnsi="黑体" w:eastAsia="黑体" w:cs="Times New Roman"/>
          <w:sz w:val="32"/>
          <w:szCs w:val="32"/>
        </w:rPr>
      </w:pPr>
      <w:r>
        <w:rPr>
          <w:rFonts w:hint="eastAsia" w:ascii="黑体" w:hAnsi="黑体" w:eastAsia="黑体" w:cs="Times New Roman"/>
          <w:sz w:val="32"/>
          <w:szCs w:val="32"/>
        </w:rPr>
        <w:t>第七章 后续管理</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第十九条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按国家招生规定录取的新生，持录取通知书、身份证和高职高专毕业证书原件及复印件，按学院有关要求和规定的期限到校办理入学手续。因故不能按期报到者，应事先以书面形式向二级学院请假，请假期限一般不得超过两周。未请假或请假逾期的，除因不可抗力等正当事由外，视为放弃入学资格。</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第二十条</w:t>
      </w:r>
      <w:r>
        <w:rPr>
          <w:rFonts w:ascii="仿宋_GB2312" w:hAnsi="Times New Roman" w:eastAsia="仿宋_GB2312" w:cs="Times New Roman"/>
          <w:sz w:val="32"/>
          <w:szCs w:val="32"/>
        </w:rPr>
        <w:t xml:space="preserve"> </w:t>
      </w:r>
      <w:r>
        <w:rPr>
          <w:rFonts w:hint="eastAsia" w:ascii="仿宋_GB2312" w:eastAsia="仿宋_GB2312"/>
          <w:sz w:val="32"/>
          <w:szCs w:val="32"/>
        </w:rPr>
        <w:t>天津财经大学珠江学院是独立学院，属于民办性质，尚未开展校园地国家助学贷款办理和减免学费工作，家庭经济困难考生可向户籍所在地的学生资助管理中心或金融机构申请生源地信用助学贷款。</w:t>
      </w:r>
    </w:p>
    <w:p>
      <w:pPr>
        <w:ind w:firstLine="640" w:firstLineChars="200"/>
        <w:contextualSpacing/>
        <w:rPr>
          <w:rFonts w:hint="eastAsia" w:ascii="仿宋_GB2312" w:hAnsi="宋体" w:eastAsia="仿宋_GB2312" w:cs="Times New Roman"/>
          <w:sz w:val="32"/>
          <w:szCs w:val="32"/>
        </w:rPr>
      </w:pPr>
      <w:r>
        <w:rPr>
          <w:rFonts w:hint="eastAsia" w:ascii="仿宋_GB2312" w:hAnsi="宋体" w:eastAsia="仿宋_GB2312" w:cs="Times New Roman"/>
          <w:sz w:val="32"/>
          <w:szCs w:val="32"/>
        </w:rPr>
        <w:t>第二十一条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学生完成规定学业经审查达到毕业标准的，颁发我院全日制普通高等学校毕业证书，按照教育部的相关规定在毕业证书上注明</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专科起点本科</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字样。毕业生学士学位授予工作，按照国务院学位委员会及教育部有关规定办理。符合国家及我院有关规定的毕业生，授予我院学士学位，颁发学位证书。</w:t>
      </w:r>
      <w:bookmarkStart w:id="0" w:name="_Hlk149815083"/>
    </w:p>
    <w:p>
      <w:pPr>
        <w:ind w:firstLine="640" w:firstLineChars="200"/>
        <w:contextualSpacing/>
        <w:rPr>
          <w:rFonts w:hint="eastAsia" w:ascii="仿宋_GB2312" w:hAnsi="宋体" w:eastAsia="仿宋_GB2312" w:cs="Times New Roman"/>
          <w:sz w:val="32"/>
          <w:szCs w:val="32"/>
        </w:rPr>
      </w:pPr>
    </w:p>
    <w:bookmarkEnd w:id="0"/>
    <w:p>
      <w:pPr>
        <w:contextualSpacing/>
        <w:jc w:val="center"/>
        <w:rPr>
          <w:rFonts w:hint="eastAsia" w:ascii="黑体" w:hAnsi="黑体" w:eastAsia="黑体" w:cs="Times New Roman"/>
          <w:sz w:val="32"/>
          <w:szCs w:val="32"/>
        </w:rPr>
      </w:pPr>
      <w:r>
        <w:rPr>
          <w:rFonts w:hint="eastAsia" w:ascii="黑体" w:hAnsi="黑体" w:eastAsia="黑体" w:cs="Times New Roman"/>
          <w:sz w:val="32"/>
          <w:szCs w:val="32"/>
        </w:rPr>
        <w:t>第八章 附则</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第二十二条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本章程仅适用于2025年天津财经大学珠江学院高职升本科招生工作。</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第二十三条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本章程经学院招生工作委员会审查通过，报上级主管部门审核。</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第二十四条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本章程自公布之日起开始执行。凡以前有关高职升本科招生工作的政策、规定与本章程不一致的，一律废止，均以本章程规定为准。如遇国家法律、法规、规章和上级有关政策变化，以变化后的规定为准。</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第二十五条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在招生咨询过程中咨询人员的意见建议，仅作为考生填报志愿的参考，不属于学校录取承诺。</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第二十六条</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rPr>
        <w:t>专业考试安排将在《天津财经大学珠江学院</w:t>
      </w:r>
      <w:r>
        <w:rPr>
          <w:rFonts w:hint="eastAsia" w:ascii="仿宋_GB2312" w:hAnsi="Times New Roman" w:eastAsia="仿宋_GB2312" w:cs="Times New Roman"/>
          <w:sz w:val="32"/>
          <w:szCs w:val="32"/>
        </w:rPr>
        <w:t>2025</w:t>
      </w:r>
      <w:r>
        <w:rPr>
          <w:rFonts w:hint="eastAsia" w:ascii="仿宋_GB2312" w:hAnsi="宋体" w:eastAsia="仿宋_GB2312" w:cs="Times New Roman"/>
          <w:sz w:val="32"/>
          <w:szCs w:val="32"/>
        </w:rPr>
        <w:t>年高职升本科专业课考试报考须知》中发布。</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第二十七条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本章程由天津财经大学珠江学院招生就业办公室负责解释。</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第二十八条</w:t>
      </w:r>
      <w:r>
        <w:rPr>
          <w:rFonts w:ascii="仿宋_GB2312" w:hAnsi="Times New Roman" w:eastAsia="仿宋_GB2312" w:cs="Times New Roman"/>
          <w:sz w:val="32"/>
          <w:szCs w:val="32"/>
        </w:rPr>
        <w:t xml:space="preserve"> </w:t>
      </w:r>
      <w:r>
        <w:rPr>
          <w:rFonts w:hint="eastAsia" w:ascii="仿宋_GB2312" w:hAnsi="宋体" w:eastAsia="仿宋_GB2312" w:cs="Times New Roman"/>
          <w:sz w:val="32"/>
          <w:szCs w:val="32"/>
        </w:rPr>
        <w:t>咨询及录取结果查询方式</w:t>
      </w:r>
    </w:p>
    <w:p>
      <w:pPr>
        <w:ind w:firstLine="640" w:firstLineChars="200"/>
        <w:contextualSpacing/>
        <w:rPr>
          <w:rFonts w:ascii="仿宋_GB2312" w:hAnsi="Times New Roman" w:eastAsia="仿宋_GB2312" w:cs="Times New Roman"/>
          <w:b/>
          <w:bCs/>
          <w:sz w:val="32"/>
          <w:szCs w:val="32"/>
        </w:rPr>
      </w:pPr>
      <w:r>
        <w:rPr>
          <w:rFonts w:hint="eastAsia" w:ascii="仿宋_GB2312" w:hAnsi="宋体" w:eastAsia="仿宋_GB2312" w:cs="Times New Roman"/>
          <w:sz w:val="32"/>
          <w:szCs w:val="32"/>
        </w:rPr>
        <w:t>网址：</w:t>
      </w:r>
      <w:r>
        <w:rPr>
          <w:rFonts w:ascii="仿宋_GB2312" w:hAnsi="Times New Roman" w:eastAsia="仿宋_GB2312" w:cs="Times New Roman"/>
          <w:sz w:val="32"/>
          <w:szCs w:val="32"/>
        </w:rPr>
        <w:t>https://zhujiang.tjufe.edu.cn/</w:t>
      </w:r>
    </w:p>
    <w:p>
      <w:pPr>
        <w:ind w:firstLine="640" w:firstLineChars="200"/>
        <w:contextualSpacing/>
        <w:rPr>
          <w:rFonts w:ascii="仿宋_GB2312" w:hAnsi="Times New Roman" w:eastAsia="仿宋_GB2312" w:cs="Times New Roman"/>
          <w:sz w:val="32"/>
          <w:szCs w:val="32"/>
        </w:rPr>
      </w:pPr>
      <w:r>
        <w:rPr>
          <w:rFonts w:hint="eastAsia" w:ascii="仿宋_GB2312" w:hAnsi="Times New Roman" w:eastAsia="仿宋_GB2312" w:cs="Times New Roman"/>
          <w:sz w:val="32"/>
          <w:szCs w:val="32"/>
        </w:rPr>
        <w:t>E-mail:zhujiangzhaoban@163.com</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电话：</w:t>
      </w:r>
      <w:r>
        <w:rPr>
          <w:rFonts w:hint="eastAsia" w:ascii="仿宋_GB2312" w:hAnsi="Times New Roman" w:eastAsia="仿宋_GB2312" w:cs="Times New Roman"/>
          <w:sz w:val="32"/>
          <w:szCs w:val="32"/>
        </w:rPr>
        <w:t>022-22410821</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邮编：</w:t>
      </w:r>
      <w:r>
        <w:rPr>
          <w:rFonts w:hint="eastAsia" w:ascii="仿宋_GB2312" w:hAnsi="Times New Roman" w:eastAsia="仿宋_GB2312" w:cs="Times New Roman"/>
          <w:sz w:val="32"/>
          <w:szCs w:val="32"/>
        </w:rPr>
        <w:t>301811</w:t>
      </w:r>
    </w:p>
    <w:p>
      <w:pPr>
        <w:ind w:firstLine="640" w:firstLineChars="200"/>
        <w:contextualSpacing/>
        <w:rPr>
          <w:rFonts w:ascii="仿宋_GB2312" w:hAnsi="Times New Roman" w:eastAsia="仿宋_GB2312" w:cs="Times New Roman"/>
          <w:sz w:val="32"/>
          <w:szCs w:val="32"/>
        </w:rPr>
      </w:pPr>
      <w:r>
        <w:rPr>
          <w:rFonts w:hint="eastAsia" w:ascii="仿宋_GB2312" w:hAnsi="宋体" w:eastAsia="仿宋_GB2312" w:cs="Times New Roman"/>
          <w:sz w:val="32"/>
          <w:szCs w:val="32"/>
        </w:rPr>
        <w:t>地址：</w:t>
      </w:r>
      <w:r>
        <w:rPr>
          <w:rFonts w:ascii="仿宋_GB2312" w:hAnsi="宋体" w:eastAsia="仿宋_GB2312" w:cs="Times New Roman"/>
          <w:sz w:val="32"/>
          <w:szCs w:val="32"/>
        </w:rPr>
        <w:t>天津市宝坻区周良街道祥瑞大街18号</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60585"/>
      <w:docPartObj>
        <w:docPartGallery w:val="autotext"/>
      </w:docPartObj>
    </w:sdtPr>
    <w:sdtEndPr>
      <w:rPr>
        <w:rFonts w:ascii="Times New Roman" w:hAnsi="Times New Roman" w:cs="Times New Roman"/>
        <w:sz w:val="21"/>
        <w:szCs w:val="21"/>
      </w:rPr>
    </w:sdtEndPr>
    <w:sdtContent>
      <w:p>
        <w:pPr>
          <w:pStyle w:val="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D0DBC"/>
    <w:multiLevelType w:val="multilevel"/>
    <w:tmpl w:val="0F5D0DBC"/>
    <w:lvl w:ilvl="0" w:tentative="0">
      <w:start w:val="1"/>
      <w:numFmt w:val="none"/>
      <w:lvlText w:val="一、"/>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kYzliN2EzOWQxZTkyMTgxMDAxYzUwNGJlMDVjNzgifQ=="/>
  </w:docVars>
  <w:rsids>
    <w:rsidRoot w:val="000C281C"/>
    <w:rsid w:val="000007A5"/>
    <w:rsid w:val="0001540E"/>
    <w:rsid w:val="00027F85"/>
    <w:rsid w:val="00034989"/>
    <w:rsid w:val="00036977"/>
    <w:rsid w:val="0004205E"/>
    <w:rsid w:val="00053484"/>
    <w:rsid w:val="0006105B"/>
    <w:rsid w:val="000676A7"/>
    <w:rsid w:val="00072BC4"/>
    <w:rsid w:val="00082339"/>
    <w:rsid w:val="00091AB5"/>
    <w:rsid w:val="00094DB1"/>
    <w:rsid w:val="000961E0"/>
    <w:rsid w:val="00096460"/>
    <w:rsid w:val="000A001B"/>
    <w:rsid w:val="000A1E7D"/>
    <w:rsid w:val="000C281C"/>
    <w:rsid w:val="000D1CE9"/>
    <w:rsid w:val="000F1704"/>
    <w:rsid w:val="000F19D0"/>
    <w:rsid w:val="001009B1"/>
    <w:rsid w:val="00102413"/>
    <w:rsid w:val="00113DAD"/>
    <w:rsid w:val="00120E77"/>
    <w:rsid w:val="001248A3"/>
    <w:rsid w:val="0012583D"/>
    <w:rsid w:val="00126E55"/>
    <w:rsid w:val="0013768B"/>
    <w:rsid w:val="001415B3"/>
    <w:rsid w:val="00146A75"/>
    <w:rsid w:val="00150EC7"/>
    <w:rsid w:val="00172515"/>
    <w:rsid w:val="00174114"/>
    <w:rsid w:val="001800C4"/>
    <w:rsid w:val="00183210"/>
    <w:rsid w:val="001958E0"/>
    <w:rsid w:val="001A020A"/>
    <w:rsid w:val="001A04A3"/>
    <w:rsid w:val="001A1EDE"/>
    <w:rsid w:val="001A4F54"/>
    <w:rsid w:val="001A5B5A"/>
    <w:rsid w:val="001A5F50"/>
    <w:rsid w:val="001B0778"/>
    <w:rsid w:val="001B2B51"/>
    <w:rsid w:val="001C441A"/>
    <w:rsid w:val="001C44CD"/>
    <w:rsid w:val="001C6E19"/>
    <w:rsid w:val="001D1515"/>
    <w:rsid w:val="001E046F"/>
    <w:rsid w:val="001E3945"/>
    <w:rsid w:val="001E41C7"/>
    <w:rsid w:val="001E5AC6"/>
    <w:rsid w:val="001F373D"/>
    <w:rsid w:val="002049B9"/>
    <w:rsid w:val="00206075"/>
    <w:rsid w:val="002273F2"/>
    <w:rsid w:val="00237668"/>
    <w:rsid w:val="00240E33"/>
    <w:rsid w:val="00256E45"/>
    <w:rsid w:val="0026113F"/>
    <w:rsid w:val="002A71D5"/>
    <w:rsid w:val="002A7F39"/>
    <w:rsid w:val="002B0E5D"/>
    <w:rsid w:val="002B65D5"/>
    <w:rsid w:val="002B6CAF"/>
    <w:rsid w:val="002B7913"/>
    <w:rsid w:val="002C1A4C"/>
    <w:rsid w:val="002F2B56"/>
    <w:rsid w:val="002F7327"/>
    <w:rsid w:val="00315A38"/>
    <w:rsid w:val="00316E5B"/>
    <w:rsid w:val="00325753"/>
    <w:rsid w:val="003258AC"/>
    <w:rsid w:val="00334F02"/>
    <w:rsid w:val="00336F48"/>
    <w:rsid w:val="00351ABF"/>
    <w:rsid w:val="003567E9"/>
    <w:rsid w:val="00362146"/>
    <w:rsid w:val="00366CED"/>
    <w:rsid w:val="00367470"/>
    <w:rsid w:val="00371B8F"/>
    <w:rsid w:val="003774A3"/>
    <w:rsid w:val="003872FE"/>
    <w:rsid w:val="00393F77"/>
    <w:rsid w:val="003B53FE"/>
    <w:rsid w:val="003B6003"/>
    <w:rsid w:val="003B6BEC"/>
    <w:rsid w:val="003B7171"/>
    <w:rsid w:val="003B7B41"/>
    <w:rsid w:val="003C2B9D"/>
    <w:rsid w:val="003E57E2"/>
    <w:rsid w:val="003F0003"/>
    <w:rsid w:val="003F5F8C"/>
    <w:rsid w:val="003F6B7F"/>
    <w:rsid w:val="00401800"/>
    <w:rsid w:val="00403079"/>
    <w:rsid w:val="00406E8D"/>
    <w:rsid w:val="004241DF"/>
    <w:rsid w:val="004531D2"/>
    <w:rsid w:val="00453688"/>
    <w:rsid w:val="004644FF"/>
    <w:rsid w:val="004662AE"/>
    <w:rsid w:val="004918BB"/>
    <w:rsid w:val="00496DA6"/>
    <w:rsid w:val="004A2AF7"/>
    <w:rsid w:val="004A536C"/>
    <w:rsid w:val="004A6EEB"/>
    <w:rsid w:val="004B12B9"/>
    <w:rsid w:val="004B7A67"/>
    <w:rsid w:val="004C0CF0"/>
    <w:rsid w:val="004D2BCF"/>
    <w:rsid w:val="004E6197"/>
    <w:rsid w:val="005011F5"/>
    <w:rsid w:val="00520721"/>
    <w:rsid w:val="0052571E"/>
    <w:rsid w:val="0053146E"/>
    <w:rsid w:val="00531909"/>
    <w:rsid w:val="00537846"/>
    <w:rsid w:val="005460CF"/>
    <w:rsid w:val="005460EB"/>
    <w:rsid w:val="00547CF9"/>
    <w:rsid w:val="00554C08"/>
    <w:rsid w:val="00565273"/>
    <w:rsid w:val="005874D4"/>
    <w:rsid w:val="005A3BA8"/>
    <w:rsid w:val="005B0AEF"/>
    <w:rsid w:val="005B60FF"/>
    <w:rsid w:val="005C3492"/>
    <w:rsid w:val="005C770F"/>
    <w:rsid w:val="005D630D"/>
    <w:rsid w:val="005D76FE"/>
    <w:rsid w:val="005F113D"/>
    <w:rsid w:val="005F1230"/>
    <w:rsid w:val="00604C31"/>
    <w:rsid w:val="006169A7"/>
    <w:rsid w:val="00622D8E"/>
    <w:rsid w:val="00623C1C"/>
    <w:rsid w:val="00642B7E"/>
    <w:rsid w:val="0066122A"/>
    <w:rsid w:val="00661FD0"/>
    <w:rsid w:val="006660F6"/>
    <w:rsid w:val="00674F90"/>
    <w:rsid w:val="00675F4A"/>
    <w:rsid w:val="006765BA"/>
    <w:rsid w:val="00691EBC"/>
    <w:rsid w:val="006A19CC"/>
    <w:rsid w:val="006A2678"/>
    <w:rsid w:val="006A7867"/>
    <w:rsid w:val="006B03AF"/>
    <w:rsid w:val="006C14DD"/>
    <w:rsid w:val="006C407F"/>
    <w:rsid w:val="006C6C9D"/>
    <w:rsid w:val="00701E37"/>
    <w:rsid w:val="00707E6B"/>
    <w:rsid w:val="00732B50"/>
    <w:rsid w:val="0073348A"/>
    <w:rsid w:val="007448D9"/>
    <w:rsid w:val="00750361"/>
    <w:rsid w:val="007556D0"/>
    <w:rsid w:val="00763D0D"/>
    <w:rsid w:val="00771963"/>
    <w:rsid w:val="00780A24"/>
    <w:rsid w:val="007847A3"/>
    <w:rsid w:val="007903F4"/>
    <w:rsid w:val="007906B0"/>
    <w:rsid w:val="007919A4"/>
    <w:rsid w:val="00794303"/>
    <w:rsid w:val="007B63C9"/>
    <w:rsid w:val="007C1091"/>
    <w:rsid w:val="007C13E5"/>
    <w:rsid w:val="007D4BD1"/>
    <w:rsid w:val="007E6448"/>
    <w:rsid w:val="007F7255"/>
    <w:rsid w:val="00800F6C"/>
    <w:rsid w:val="00802B74"/>
    <w:rsid w:val="00802CA5"/>
    <w:rsid w:val="00816695"/>
    <w:rsid w:val="008203A2"/>
    <w:rsid w:val="00835465"/>
    <w:rsid w:val="008444F8"/>
    <w:rsid w:val="00855E42"/>
    <w:rsid w:val="008564F3"/>
    <w:rsid w:val="00860B03"/>
    <w:rsid w:val="00863B45"/>
    <w:rsid w:val="008667F8"/>
    <w:rsid w:val="0087448A"/>
    <w:rsid w:val="00883B87"/>
    <w:rsid w:val="0089112F"/>
    <w:rsid w:val="00891153"/>
    <w:rsid w:val="00895DF1"/>
    <w:rsid w:val="008A4F06"/>
    <w:rsid w:val="008D4015"/>
    <w:rsid w:val="008D5E67"/>
    <w:rsid w:val="00910831"/>
    <w:rsid w:val="00926966"/>
    <w:rsid w:val="0093305F"/>
    <w:rsid w:val="0093746D"/>
    <w:rsid w:val="009455F5"/>
    <w:rsid w:val="00961803"/>
    <w:rsid w:val="00967E95"/>
    <w:rsid w:val="00967EA5"/>
    <w:rsid w:val="00972579"/>
    <w:rsid w:val="00974E17"/>
    <w:rsid w:val="0098599A"/>
    <w:rsid w:val="00986A9B"/>
    <w:rsid w:val="009A5E40"/>
    <w:rsid w:val="009C4C86"/>
    <w:rsid w:val="009D258B"/>
    <w:rsid w:val="009E32B4"/>
    <w:rsid w:val="009F0303"/>
    <w:rsid w:val="009F216D"/>
    <w:rsid w:val="009F3ABA"/>
    <w:rsid w:val="00A12A8B"/>
    <w:rsid w:val="00A13685"/>
    <w:rsid w:val="00A20144"/>
    <w:rsid w:val="00A22736"/>
    <w:rsid w:val="00A374A5"/>
    <w:rsid w:val="00A77968"/>
    <w:rsid w:val="00A8368F"/>
    <w:rsid w:val="00A8577B"/>
    <w:rsid w:val="00A944A1"/>
    <w:rsid w:val="00AA41B1"/>
    <w:rsid w:val="00AA6629"/>
    <w:rsid w:val="00AB2618"/>
    <w:rsid w:val="00AC1FB3"/>
    <w:rsid w:val="00AC2840"/>
    <w:rsid w:val="00AC30B2"/>
    <w:rsid w:val="00AC518D"/>
    <w:rsid w:val="00AD4E22"/>
    <w:rsid w:val="00AE3AA4"/>
    <w:rsid w:val="00B03EB9"/>
    <w:rsid w:val="00B111CB"/>
    <w:rsid w:val="00B2401D"/>
    <w:rsid w:val="00B82432"/>
    <w:rsid w:val="00B9412C"/>
    <w:rsid w:val="00BB6FB9"/>
    <w:rsid w:val="00BC1EC1"/>
    <w:rsid w:val="00BD5A9C"/>
    <w:rsid w:val="00BE45B2"/>
    <w:rsid w:val="00C40F14"/>
    <w:rsid w:val="00C50A43"/>
    <w:rsid w:val="00C52143"/>
    <w:rsid w:val="00C55052"/>
    <w:rsid w:val="00C55792"/>
    <w:rsid w:val="00C56CF5"/>
    <w:rsid w:val="00C81DF0"/>
    <w:rsid w:val="00C82C2A"/>
    <w:rsid w:val="00C9015D"/>
    <w:rsid w:val="00C92BD5"/>
    <w:rsid w:val="00C948A5"/>
    <w:rsid w:val="00CA7B91"/>
    <w:rsid w:val="00CC384F"/>
    <w:rsid w:val="00CD4D52"/>
    <w:rsid w:val="00CF7419"/>
    <w:rsid w:val="00D00E2A"/>
    <w:rsid w:val="00D02686"/>
    <w:rsid w:val="00D05C48"/>
    <w:rsid w:val="00D147A7"/>
    <w:rsid w:val="00D338A6"/>
    <w:rsid w:val="00D34705"/>
    <w:rsid w:val="00D60A42"/>
    <w:rsid w:val="00D7077C"/>
    <w:rsid w:val="00D7343B"/>
    <w:rsid w:val="00D7665A"/>
    <w:rsid w:val="00D83840"/>
    <w:rsid w:val="00D83871"/>
    <w:rsid w:val="00DA1BE1"/>
    <w:rsid w:val="00DB1484"/>
    <w:rsid w:val="00DC2387"/>
    <w:rsid w:val="00DD30F6"/>
    <w:rsid w:val="00DE1756"/>
    <w:rsid w:val="00DE1C0D"/>
    <w:rsid w:val="00DE7D49"/>
    <w:rsid w:val="00E05311"/>
    <w:rsid w:val="00E0537E"/>
    <w:rsid w:val="00E15BA3"/>
    <w:rsid w:val="00E35F65"/>
    <w:rsid w:val="00E3625D"/>
    <w:rsid w:val="00E40496"/>
    <w:rsid w:val="00E44A9F"/>
    <w:rsid w:val="00E47239"/>
    <w:rsid w:val="00E511BF"/>
    <w:rsid w:val="00E52974"/>
    <w:rsid w:val="00E57C7C"/>
    <w:rsid w:val="00E62174"/>
    <w:rsid w:val="00E65E10"/>
    <w:rsid w:val="00E703CE"/>
    <w:rsid w:val="00E706AD"/>
    <w:rsid w:val="00E94E03"/>
    <w:rsid w:val="00EA127F"/>
    <w:rsid w:val="00EB5E24"/>
    <w:rsid w:val="00EB626E"/>
    <w:rsid w:val="00EC18B7"/>
    <w:rsid w:val="00EC3B02"/>
    <w:rsid w:val="00EC3B4B"/>
    <w:rsid w:val="00EC48E9"/>
    <w:rsid w:val="00EC6EBA"/>
    <w:rsid w:val="00ED470B"/>
    <w:rsid w:val="00EF2A14"/>
    <w:rsid w:val="00EF56FB"/>
    <w:rsid w:val="00EF6B30"/>
    <w:rsid w:val="00F035C7"/>
    <w:rsid w:val="00F06AF8"/>
    <w:rsid w:val="00F075EE"/>
    <w:rsid w:val="00F140DE"/>
    <w:rsid w:val="00F22936"/>
    <w:rsid w:val="00F44A7E"/>
    <w:rsid w:val="00F54C05"/>
    <w:rsid w:val="00F55890"/>
    <w:rsid w:val="00F62527"/>
    <w:rsid w:val="00F659A3"/>
    <w:rsid w:val="00F856F8"/>
    <w:rsid w:val="00F87C31"/>
    <w:rsid w:val="00F90350"/>
    <w:rsid w:val="00F92B27"/>
    <w:rsid w:val="00FA6706"/>
    <w:rsid w:val="00FD1640"/>
    <w:rsid w:val="00FD3365"/>
    <w:rsid w:val="00FD49B9"/>
    <w:rsid w:val="00FD5118"/>
    <w:rsid w:val="00FE3B9A"/>
    <w:rsid w:val="00FF66BB"/>
    <w:rsid w:val="62C819F9"/>
    <w:rsid w:val="67F442BC"/>
    <w:rsid w:val="6E9B53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0"/>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8"/>
    <w:autoRedefine/>
    <w:semiHidden/>
    <w:unhideWhenUsed/>
    <w:qFormat/>
    <w:uiPriority w:val="99"/>
    <w:pPr>
      <w:spacing w:line="240" w:lineRule="auto"/>
    </w:pPr>
    <w:rPr>
      <w:sz w:val="18"/>
      <w:szCs w:val="18"/>
    </w:rPr>
  </w:style>
  <w:style w:type="paragraph" w:styleId="5">
    <w:name w:val="footer"/>
    <w:basedOn w:val="1"/>
    <w:link w:val="14"/>
    <w:unhideWhenUsed/>
    <w:uiPriority w:val="99"/>
    <w:pPr>
      <w:tabs>
        <w:tab w:val="center" w:pos="4153"/>
        <w:tab w:val="right" w:pos="8306"/>
      </w:tabs>
      <w:snapToGrid w:val="0"/>
      <w:spacing w:line="240" w:lineRule="atLeast"/>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8">
    <w:name w:val="annotation subject"/>
    <w:basedOn w:val="3"/>
    <w:next w:val="3"/>
    <w:link w:val="17"/>
    <w:semiHidden/>
    <w:unhideWhenUsed/>
    <w:uiPriority w:val="99"/>
    <w:rPr>
      <w:b/>
      <w:bCs/>
    </w:r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uiPriority w:val="99"/>
    <w:rPr>
      <w:sz w:val="18"/>
      <w:szCs w:val="18"/>
    </w:rPr>
  </w:style>
  <w:style w:type="paragraph" w:styleId="15">
    <w:name w:val="No Spacing"/>
    <w:qFormat/>
    <w:uiPriority w:val="1"/>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customStyle="1" w:styleId="16">
    <w:name w:val="批注文字 字符"/>
    <w:basedOn w:val="10"/>
    <w:link w:val="3"/>
    <w:autoRedefine/>
    <w:semiHidden/>
    <w:qFormat/>
    <w:uiPriority w:val="99"/>
  </w:style>
  <w:style w:type="character" w:customStyle="1" w:styleId="17">
    <w:name w:val="批注主题 字符"/>
    <w:basedOn w:val="16"/>
    <w:link w:val="8"/>
    <w:autoRedefine/>
    <w:semiHidden/>
    <w:qFormat/>
    <w:uiPriority w:val="99"/>
    <w:rPr>
      <w:b/>
      <w:bCs/>
    </w:rPr>
  </w:style>
  <w:style w:type="character" w:customStyle="1" w:styleId="18">
    <w:name w:val="批注框文本 字符"/>
    <w:basedOn w:val="10"/>
    <w:link w:val="4"/>
    <w:autoRedefine/>
    <w:semiHidden/>
    <w:qFormat/>
    <w:uiPriority w:val="99"/>
    <w:rPr>
      <w:sz w:val="18"/>
      <w:szCs w:val="18"/>
    </w:rPr>
  </w:style>
  <w:style w:type="character" w:customStyle="1" w:styleId="19">
    <w:name w:val="未处理的提及1"/>
    <w:basedOn w:val="10"/>
    <w:autoRedefine/>
    <w:semiHidden/>
    <w:unhideWhenUsed/>
    <w:qFormat/>
    <w:uiPriority w:val="99"/>
    <w:rPr>
      <w:color w:val="605E5C"/>
      <w:shd w:val="clear" w:color="auto" w:fill="E1DFDD"/>
    </w:rPr>
  </w:style>
  <w:style w:type="character" w:customStyle="1" w:styleId="20">
    <w:name w:val="标题 1 字符"/>
    <w:basedOn w:val="10"/>
    <w:link w:val="2"/>
    <w:autoRedefine/>
    <w:qFormat/>
    <w:uiPriority w:val="9"/>
    <w:rPr>
      <w:rFonts w:ascii="宋体" w:hAnsi="宋体" w:eastAsia="宋体" w:cs="宋体"/>
      <w:b/>
      <w:bCs/>
      <w:kern w:val="36"/>
      <w:sz w:val="48"/>
      <w:szCs w:val="48"/>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543</Words>
  <Characters>3099</Characters>
  <Lines>25</Lines>
  <Paragraphs>7</Paragraphs>
  <TotalTime>91</TotalTime>
  <ScaleCrop>false</ScaleCrop>
  <LinksUpToDate>false</LinksUpToDate>
  <CharactersWithSpaces>3635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2024-11-18T03:27:00Z</dcterms:created>
  <dc:creator>Microsoft</dc:creator>
  <cp:lastModifiedBy>王松岭</cp:lastModifiedBy>
  <cp:lastPrinted>2024-11-18T06:50:00Z</cp:lastPrinted>
  <dcterms:modified xsi:type="dcterms:W3CDTF">2024-11-25T03:39:34Z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55EAE4563DF1454DB86ED42E40BB860A_12</vt:lpwstr>
  </property>
</Properties>
</file>