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E57C" w14:textId="77777777" w:rsidR="000F6BCB" w:rsidRDefault="00000000" w:rsidP="00E76DF1">
      <w:pPr>
        <w:pStyle w:val="a6"/>
        <w:widowControl/>
        <w:spacing w:beforeAutospacing="0" w:afterAutospacing="0" w:line="375" w:lineRule="atLeast"/>
        <w:jc w:val="center"/>
      </w:pPr>
      <w:r>
        <w:rPr>
          <w:rStyle w:val="a8"/>
          <w:rFonts w:ascii="黑体" w:eastAsia="黑体" w:hAnsi="宋体" w:cs="黑体"/>
          <w:color w:val="101010"/>
          <w:kern w:val="2"/>
          <w:sz w:val="36"/>
          <w:szCs w:val="36"/>
          <w:shd w:val="clear" w:color="auto" w:fill="FFFFFF"/>
        </w:rPr>
        <w:t>天津中德应用技术大学</w:t>
      </w:r>
      <w:r>
        <w:rPr>
          <w:rStyle w:val="a8"/>
          <w:rFonts w:ascii="黑体" w:eastAsia="黑体" w:hAnsi="Calibri" w:hint="eastAsia"/>
          <w:color w:val="101010"/>
          <w:kern w:val="2"/>
          <w:sz w:val="36"/>
          <w:szCs w:val="36"/>
          <w:shd w:val="clear" w:color="auto" w:fill="FFFFFF"/>
        </w:rPr>
        <w:t>2025年高职升本科招生章程</w:t>
      </w:r>
    </w:p>
    <w:p w14:paraId="678C1945" w14:textId="77777777" w:rsidR="000F6BCB" w:rsidRDefault="00000000" w:rsidP="00E76DF1">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第一章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总则</w:t>
      </w:r>
    </w:p>
    <w:p w14:paraId="401FCB59"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第一条</w:t>
      </w:r>
      <w:r>
        <w:rPr>
          <w:rFonts w:ascii="仿宋_GB2312" w:eastAsia="仿宋_GB2312" w:hAnsi="Calibri"/>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根据《中华人民共和国教育法》、《中华人民共和国高等教育法》等相关法律法规和市高招办发布的《2025年天津市高职升本科招生实施办法》的相关</w:t>
      </w:r>
      <w:r>
        <w:rPr>
          <w:rFonts w:ascii="仿宋_GB2312" w:eastAsia="仿宋_GB2312" w:hAnsi="Calibri" w:hint="eastAsia"/>
          <w:color w:val="101010"/>
          <w:kern w:val="2"/>
          <w:sz w:val="32"/>
          <w:szCs w:val="32"/>
          <w:shd w:val="clear" w:color="auto" w:fill="FFFFFF"/>
        </w:rPr>
        <w:t>要求，结合我校招生工作实际，制定本章程。</w:t>
      </w:r>
    </w:p>
    <w:p w14:paraId="7A5BEE1F" w14:textId="7F9ADEA9"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第二条</w:t>
      </w:r>
      <w:r w:rsidR="00E76DF1">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本章程是社会了解我校有关高职升本科招生政策、规定及相关信息的主要渠道</w:t>
      </w:r>
      <w:r>
        <w:rPr>
          <w:rFonts w:ascii="仿宋_GB2312" w:eastAsia="仿宋_GB2312" w:hAnsi="Calibri" w:hint="eastAsia"/>
          <w:color w:val="101010"/>
          <w:kern w:val="2"/>
          <w:sz w:val="32"/>
          <w:szCs w:val="32"/>
          <w:shd w:val="clear" w:color="auto" w:fill="FFFFFF"/>
        </w:rPr>
        <w:t>,是我校开展招生咨询和录取工作的主要依据。</w:t>
      </w:r>
    </w:p>
    <w:p w14:paraId="228B6B07" w14:textId="65F96394"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第三条</w:t>
      </w:r>
      <w:r w:rsidR="00E76DF1">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本章程经天津中德应用技术大学招生委员会审查通过，报上级主管部门审核。</w:t>
      </w:r>
    </w:p>
    <w:p w14:paraId="189D5D96"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第四条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学校概况</w:t>
      </w:r>
    </w:p>
    <w:p w14:paraId="06C15ACA" w14:textId="77777777" w:rsidR="000F6BCB" w:rsidRDefault="00000000" w:rsidP="00E76DF1">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一、学校名称</w:t>
      </w:r>
      <w:r>
        <w:rPr>
          <w:rFonts w:ascii="仿宋_GB2312" w:eastAsia="仿宋_GB2312" w:hAnsi="Calibri" w:hint="eastAsia"/>
          <w:color w:val="101010"/>
          <w:kern w:val="2"/>
          <w:sz w:val="32"/>
          <w:szCs w:val="32"/>
          <w:shd w:val="clear" w:color="auto" w:fill="FFFFFF"/>
        </w:rPr>
        <w:t>:  天津中德应用技术大学</w:t>
      </w:r>
    </w:p>
    <w:p w14:paraId="68AAF78D" w14:textId="77777777" w:rsidR="000F6BCB" w:rsidRDefault="00000000" w:rsidP="00E76DF1">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二、办学类型</w:t>
      </w:r>
      <w:r>
        <w:rPr>
          <w:rFonts w:ascii="仿宋_GB2312" w:eastAsia="仿宋_GB2312" w:hAnsi="Calibri" w:hint="eastAsia"/>
          <w:color w:val="101010"/>
          <w:kern w:val="2"/>
          <w:sz w:val="32"/>
          <w:szCs w:val="32"/>
          <w:shd w:val="clear" w:color="auto" w:fill="FFFFFF"/>
        </w:rPr>
        <w:t>:  全日制普通高等学校</w:t>
      </w:r>
    </w:p>
    <w:p w14:paraId="1170E6FB" w14:textId="77777777" w:rsidR="000F6BCB" w:rsidRDefault="00000000" w:rsidP="00E76DF1">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三、办学层次</w:t>
      </w:r>
      <w:r>
        <w:rPr>
          <w:rFonts w:ascii="仿宋_GB2312" w:eastAsia="仿宋_GB2312" w:hAnsi="Calibri" w:hint="eastAsia"/>
          <w:color w:val="101010"/>
          <w:kern w:val="2"/>
          <w:sz w:val="32"/>
          <w:szCs w:val="32"/>
          <w:shd w:val="clear" w:color="auto" w:fill="FFFFFF"/>
        </w:rPr>
        <w:t>:  硕士、本科、高职</w:t>
      </w:r>
    </w:p>
    <w:p w14:paraId="1B7EC191" w14:textId="77777777" w:rsidR="000F6BCB" w:rsidRDefault="00000000" w:rsidP="00E76DF1">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四、学校代码</w:t>
      </w:r>
      <w:r>
        <w:rPr>
          <w:rFonts w:ascii="仿宋_GB2312" w:eastAsia="仿宋_GB2312" w:hAnsi="Calibri" w:hint="eastAsia"/>
          <w:color w:val="101010"/>
          <w:kern w:val="2"/>
          <w:sz w:val="32"/>
          <w:szCs w:val="32"/>
          <w:shd w:val="clear" w:color="auto" w:fill="FFFFFF"/>
        </w:rPr>
        <w:t>:  12105</w:t>
      </w:r>
    </w:p>
    <w:p w14:paraId="4D3961BE" w14:textId="2B6E0FB1" w:rsidR="000F6BCB" w:rsidRDefault="00000000" w:rsidP="00E76DF1">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五、学校地址</w:t>
      </w:r>
      <w:r>
        <w:rPr>
          <w:rFonts w:ascii="仿宋_GB2312" w:eastAsia="仿宋_GB2312" w:hAnsi="Calibri" w:hint="eastAsia"/>
          <w:color w:val="101010"/>
          <w:kern w:val="2"/>
          <w:sz w:val="32"/>
          <w:szCs w:val="32"/>
          <w:shd w:val="clear" w:color="auto" w:fill="FFFFFF"/>
        </w:rPr>
        <w:t>: 天津海河教育</w:t>
      </w:r>
      <w:proofErr w:type="gramStart"/>
      <w:r>
        <w:rPr>
          <w:rFonts w:ascii="仿宋_GB2312" w:eastAsia="仿宋_GB2312" w:hAnsi="Calibri" w:hint="eastAsia"/>
          <w:color w:val="101010"/>
          <w:kern w:val="2"/>
          <w:sz w:val="32"/>
          <w:szCs w:val="32"/>
          <w:shd w:val="clear" w:color="auto" w:fill="FFFFFF"/>
        </w:rPr>
        <w:t>园区雅深路</w:t>
      </w:r>
      <w:proofErr w:type="gramEnd"/>
      <w:r>
        <w:rPr>
          <w:rFonts w:ascii="仿宋_GB2312" w:eastAsia="仿宋_GB2312" w:hAnsi="Calibri" w:hint="eastAsia"/>
          <w:color w:val="101010"/>
          <w:kern w:val="2"/>
          <w:sz w:val="32"/>
          <w:szCs w:val="32"/>
          <w:shd w:val="clear" w:color="auto" w:fill="FFFFFF"/>
        </w:rPr>
        <w:t>2号</w:t>
      </w:r>
    </w:p>
    <w:p w14:paraId="72DAB136" w14:textId="77777777" w:rsidR="000F6BCB" w:rsidRDefault="00000000" w:rsidP="00E76DF1">
      <w:pPr>
        <w:pStyle w:val="a6"/>
        <w:widowControl/>
        <w:shd w:val="clear" w:color="auto" w:fill="FFFFFF"/>
        <w:spacing w:beforeAutospacing="0" w:afterAutospacing="0"/>
        <w:ind w:firstLine="600"/>
        <w:jc w:val="both"/>
        <w:rPr>
          <w:rFonts w:ascii="仿宋_GB2312" w:eastAsia="仿宋_GB2312" w:hAnsi="Calibri"/>
          <w:color w:val="101010"/>
          <w:kern w:val="2"/>
          <w:sz w:val="32"/>
          <w:szCs w:val="32"/>
          <w:shd w:val="clear" w:color="auto" w:fill="FFFFFF"/>
        </w:rPr>
      </w:pPr>
      <w:r>
        <w:rPr>
          <w:rFonts w:ascii="仿宋_GB2312" w:eastAsia="仿宋_GB2312" w:hAnsi="Calibri" w:cs="仿宋_GB2312" w:hint="eastAsia"/>
          <w:color w:val="101010"/>
          <w:kern w:val="2"/>
          <w:sz w:val="32"/>
          <w:szCs w:val="32"/>
          <w:shd w:val="clear" w:color="auto" w:fill="FFFFFF"/>
        </w:rPr>
        <w:t>六、学校基本概况</w:t>
      </w:r>
      <w:r>
        <w:rPr>
          <w:rFonts w:ascii="仿宋_GB2312" w:eastAsia="仿宋_GB2312" w:hAnsi="Calibri" w:hint="eastAsia"/>
          <w:color w:val="101010"/>
          <w:kern w:val="2"/>
          <w:sz w:val="32"/>
          <w:szCs w:val="32"/>
          <w:shd w:val="clear" w:color="auto" w:fill="FFFFFF"/>
        </w:rPr>
        <w:t>: 天津中德应用技术大学是教育部批准成立的国内第一所应用技术大学，是隶属于天津市人民政府管理的普通本科院校。学校始于中国与德国、日本、西班牙三国政府在职业教育和培训领域最大的合作项目，1985年建校即为国家经济发展培训企业员工；2001年改制为天津中德职业技术学院，2007</w:t>
      </w:r>
      <w:r>
        <w:rPr>
          <w:rFonts w:ascii="仿宋_GB2312" w:eastAsia="仿宋_GB2312" w:hAnsi="Calibri" w:hint="eastAsia"/>
          <w:color w:val="101010"/>
          <w:kern w:val="2"/>
          <w:sz w:val="32"/>
          <w:szCs w:val="32"/>
          <w:shd w:val="clear" w:color="auto" w:fill="FFFFFF"/>
        </w:rPr>
        <w:lastRenderedPageBreak/>
        <w:t>年入选国家示范性高职院校建设项目；2015年教育部批准升格为天津中德应用技术大学；2021年获批“新增硕士学位授予单位”。</w:t>
      </w:r>
    </w:p>
    <w:p w14:paraId="40316018" w14:textId="66B1585F" w:rsidR="000F6BCB" w:rsidRDefault="00000000" w:rsidP="00E76DF1">
      <w:pPr>
        <w:pStyle w:val="a6"/>
        <w:widowControl/>
        <w:shd w:val="clear" w:color="auto" w:fill="FFFFFF"/>
        <w:spacing w:beforeAutospacing="0" w:afterAutospacing="0"/>
        <w:ind w:firstLine="600"/>
        <w:jc w:val="both"/>
        <w:rPr>
          <w:rFonts w:ascii="仿宋_GB2312" w:eastAsia="仿宋_GB2312" w:hAnsi="Calibri"/>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t>学校占地面积1000亩，建筑面积29.73万平方米。建有校内实验实训室9</w:t>
      </w:r>
      <w:r w:rsidR="00E76DF1">
        <w:rPr>
          <w:rFonts w:ascii="仿宋_GB2312" w:eastAsia="仿宋_GB2312" w:hAnsi="Calibri" w:hint="eastAsia"/>
          <w:color w:val="101010"/>
          <w:kern w:val="2"/>
          <w:sz w:val="32"/>
          <w:szCs w:val="32"/>
          <w:shd w:val="clear" w:color="auto" w:fill="FFFFFF"/>
        </w:rPr>
        <w:t>3</w:t>
      </w:r>
      <w:r>
        <w:rPr>
          <w:rFonts w:ascii="仿宋_GB2312" w:eastAsia="仿宋_GB2312" w:hAnsi="Calibri" w:hint="eastAsia"/>
          <w:color w:val="101010"/>
          <w:kern w:val="2"/>
          <w:sz w:val="32"/>
          <w:szCs w:val="32"/>
          <w:shd w:val="clear" w:color="auto" w:fill="FFFFFF"/>
        </w:rPr>
        <w:t>个，教学科研仪器设备总值5亿余元人民币；拥有省部级科研平台4个、省部级科普基地4个、与企业共建校内技术创新中心、联合重点实验室等科研平台15个。</w:t>
      </w:r>
    </w:p>
    <w:p w14:paraId="26E398FA" w14:textId="57513F4F" w:rsidR="000F6BCB" w:rsidRDefault="00000000" w:rsidP="00E76DF1">
      <w:pPr>
        <w:pStyle w:val="a6"/>
        <w:widowControl/>
        <w:shd w:val="clear" w:color="auto" w:fill="FFFFFF"/>
        <w:spacing w:beforeAutospacing="0" w:afterAutospacing="0"/>
        <w:ind w:firstLine="600"/>
        <w:jc w:val="both"/>
        <w:rPr>
          <w:rFonts w:ascii="仿宋_GB2312" w:eastAsia="仿宋_GB2312" w:hAnsi="Calibri"/>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t>学校现有教职员工742人，其中，高级职称306人，硕士及以上学位601人；现有外籍专家7人，校特聘教授9人、客座教授60余人。入选国家级教学团队“全国高校黄大年式教师团队”1个、省部级教学团队8个；省部级以上教学名师、天津市创新人才推进计划青年科技创新领军人才、天津市工艺美术大师、天津市“131”创新型人才培养工程高层次人才等38名。具有海外经历256人、企业工作经历303人，形成了“硕士+企业经历”和“优秀博士”双注重的人才引进机制。学校累计获国家级教学成果奖1</w:t>
      </w:r>
      <w:r w:rsidR="00E76DF1">
        <w:rPr>
          <w:rFonts w:ascii="仿宋_GB2312" w:eastAsia="仿宋_GB2312" w:hAnsi="Calibri" w:hint="eastAsia"/>
          <w:color w:val="101010"/>
          <w:kern w:val="2"/>
          <w:sz w:val="32"/>
          <w:szCs w:val="32"/>
          <w:shd w:val="clear" w:color="auto" w:fill="FFFFFF"/>
        </w:rPr>
        <w:t>0</w:t>
      </w:r>
      <w:r>
        <w:rPr>
          <w:rFonts w:ascii="仿宋_GB2312" w:eastAsia="仿宋_GB2312" w:hAnsi="Calibri" w:hint="eastAsia"/>
          <w:color w:val="101010"/>
          <w:kern w:val="2"/>
          <w:sz w:val="32"/>
          <w:szCs w:val="32"/>
          <w:shd w:val="clear" w:color="auto" w:fill="FFFFFF"/>
        </w:rPr>
        <w:t>项，曾获得职业教育领域第一个国家级教学成果特等奖；实现黄炎培职业教育奖“大满贯”。2019年以来，连续五年位居全国新建本科院校教师教学发展指数前二名。</w:t>
      </w:r>
    </w:p>
    <w:p w14:paraId="4DB3EF79" w14:textId="77777777" w:rsidR="000F6BCB" w:rsidRDefault="00000000" w:rsidP="00E76DF1">
      <w:pPr>
        <w:pStyle w:val="a6"/>
        <w:widowControl/>
        <w:shd w:val="clear" w:color="auto" w:fill="FFFFFF"/>
        <w:spacing w:beforeAutospacing="0" w:afterAutospacing="0"/>
        <w:ind w:firstLine="600"/>
        <w:jc w:val="both"/>
        <w:rPr>
          <w:rFonts w:ascii="仿宋_GB2312" w:eastAsia="仿宋_GB2312" w:hAnsi="Calibri"/>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t>学校现有先进制造技术、自动化技术、航空航天技术与服务、交通技术与服务、软件与通信技术、新能源、经贸管理、文化创意与技术、应用语言等9大应用型专业组群，建有“高端装备智能制造技术”天津市高校服务产业特色学科群。设置专业学位硕士点2个、本科专业23个、高职专业8个，形成以工为主，工、管、</w:t>
      </w:r>
      <w:proofErr w:type="gramStart"/>
      <w:r>
        <w:rPr>
          <w:rFonts w:ascii="仿宋_GB2312" w:eastAsia="仿宋_GB2312" w:hAnsi="Calibri" w:hint="eastAsia"/>
          <w:color w:val="101010"/>
          <w:kern w:val="2"/>
          <w:sz w:val="32"/>
          <w:szCs w:val="32"/>
          <w:shd w:val="clear" w:color="auto" w:fill="FFFFFF"/>
        </w:rPr>
        <w:t>艺协调</w:t>
      </w:r>
      <w:proofErr w:type="gramEnd"/>
      <w:r>
        <w:rPr>
          <w:rFonts w:ascii="仿宋_GB2312" w:eastAsia="仿宋_GB2312" w:hAnsi="Calibri" w:hint="eastAsia"/>
          <w:color w:val="101010"/>
          <w:kern w:val="2"/>
          <w:sz w:val="32"/>
          <w:szCs w:val="32"/>
          <w:shd w:val="clear" w:color="auto" w:fill="FFFFFF"/>
        </w:rPr>
        <w:t>发展的学科专业布局。现有全日制在校生近1.2万名。</w:t>
      </w:r>
    </w:p>
    <w:p w14:paraId="31F770AF" w14:textId="77777777" w:rsidR="000F6BCB" w:rsidRDefault="00000000" w:rsidP="00E76DF1">
      <w:pPr>
        <w:pStyle w:val="a6"/>
        <w:widowControl/>
        <w:shd w:val="clear" w:color="auto" w:fill="FFFFFF"/>
        <w:spacing w:beforeAutospacing="0" w:afterAutospacing="0"/>
        <w:ind w:firstLine="600"/>
        <w:jc w:val="both"/>
        <w:rPr>
          <w:rStyle w:val="a8"/>
          <w:rFonts w:ascii="黑体" w:eastAsia="黑体" w:hAnsi="宋体" w:cs="黑体" w:hint="eastAsia"/>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lastRenderedPageBreak/>
        <w:t>学校秉承“崇实 求精 致良知”的校训和“海纳百川 敬业乐群”的中德精神，始终坚持聚焦工业发展需求，传承“工匠精神”，致力于培养“政治过硬、技能精湛、诚实守信、理性平和”的高素质应用型人才。当前，学校正在全力推进一流应用技术大学建设。</w:t>
      </w:r>
    </w:p>
    <w:p w14:paraId="1FDB15AE" w14:textId="77777777" w:rsidR="000F6BCB" w:rsidRDefault="00000000" w:rsidP="00E76DF1">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第二章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招生机构</w:t>
      </w:r>
    </w:p>
    <w:p w14:paraId="360783EC"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第五条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学校设立招生工作委员会，全面负责学校的招生工作</w:t>
      </w:r>
      <w:r>
        <w:rPr>
          <w:rFonts w:ascii="仿宋_GB2312" w:eastAsia="仿宋_GB2312" w:hAnsi="Calibri" w:hint="eastAsia"/>
          <w:color w:val="101010"/>
          <w:kern w:val="2"/>
          <w:sz w:val="32"/>
          <w:szCs w:val="32"/>
          <w:shd w:val="clear" w:color="auto" w:fill="FFFFFF"/>
        </w:rPr>
        <w:t>,制定招生政策、招生计划，研究有关招生工作的重大事宜。</w:t>
      </w:r>
    </w:p>
    <w:p w14:paraId="3F481C77"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第六条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学校招生工作委员会下设普通本科招生办公室，是组织和实施招生工作的常设机构，具体负责招生的日常工作。</w:t>
      </w:r>
    </w:p>
    <w:p w14:paraId="3DF83D17"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第七条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学校本科招生工作接受市招生委员会、纪检监察部门和社会各界的监督。</w:t>
      </w:r>
    </w:p>
    <w:p w14:paraId="2AF1F643" w14:textId="77777777" w:rsidR="000F6BCB" w:rsidRDefault="00000000" w:rsidP="00E76DF1">
      <w:pPr>
        <w:pStyle w:val="a6"/>
        <w:widowControl/>
        <w:spacing w:beforeAutospacing="0" w:afterAutospacing="0" w:line="375" w:lineRule="atLeast"/>
        <w:jc w:val="center"/>
        <w:rPr>
          <w:rFonts w:eastAsia="黑体"/>
        </w:rPr>
      </w:pPr>
      <w:r>
        <w:rPr>
          <w:rStyle w:val="a8"/>
          <w:rFonts w:ascii="黑体" w:eastAsia="黑体" w:hAnsi="宋体" w:cs="黑体" w:hint="eastAsia"/>
          <w:color w:val="101010"/>
          <w:kern w:val="2"/>
          <w:sz w:val="32"/>
          <w:szCs w:val="32"/>
          <w:shd w:val="clear" w:color="auto" w:fill="FFFFFF"/>
        </w:rPr>
        <w:t>第三章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招生计划及收费标准</w:t>
      </w:r>
    </w:p>
    <w:p w14:paraId="3990C5A6"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第八条</w:t>
      </w:r>
      <w:r>
        <w:rPr>
          <w:rFonts w:ascii="仿宋_GB2312" w:eastAsia="仿宋_GB2312" w:hAnsi="Calibri" w:hint="eastAsia"/>
          <w:color w:val="101010"/>
          <w:kern w:val="2"/>
          <w:sz w:val="32"/>
          <w:szCs w:val="32"/>
          <w:shd w:val="clear" w:color="auto" w:fill="FFFFFF"/>
        </w:rPr>
        <w:t xml:space="preserve">  2025年高职升本科招生计划</w:t>
      </w:r>
    </w:p>
    <w:tbl>
      <w:tblPr>
        <w:tblStyle w:val="a7"/>
        <w:tblW w:w="900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48"/>
        <w:gridCol w:w="790"/>
        <w:gridCol w:w="980"/>
        <w:gridCol w:w="2720"/>
        <w:gridCol w:w="1967"/>
      </w:tblGrid>
      <w:tr w:rsidR="000F6BCB" w14:paraId="445704F4" w14:textId="77777777" w:rsidTr="00E76DF1">
        <w:trPr>
          <w:trHeight w:hRule="exact" w:val="567"/>
          <w:jc w:val="center"/>
        </w:trPr>
        <w:tc>
          <w:tcPr>
            <w:tcW w:w="2548" w:type="dxa"/>
            <w:tcBorders>
              <w:tl2br w:val="nil"/>
              <w:tr2bl w:val="nil"/>
            </w:tcBorders>
            <w:vAlign w:val="center"/>
          </w:tcPr>
          <w:p w14:paraId="6B2B60D5" w14:textId="77777777" w:rsidR="000F6BCB" w:rsidRDefault="00000000" w:rsidP="00E76DF1">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专业名称</w:t>
            </w:r>
          </w:p>
        </w:tc>
        <w:tc>
          <w:tcPr>
            <w:tcW w:w="790" w:type="dxa"/>
            <w:tcBorders>
              <w:tl2br w:val="nil"/>
              <w:tr2bl w:val="nil"/>
            </w:tcBorders>
            <w:vAlign w:val="center"/>
          </w:tcPr>
          <w:p w14:paraId="566528DC" w14:textId="77777777" w:rsidR="000F6BCB" w:rsidRDefault="00000000" w:rsidP="00E76DF1">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科类</w:t>
            </w:r>
          </w:p>
        </w:tc>
        <w:tc>
          <w:tcPr>
            <w:tcW w:w="980" w:type="dxa"/>
            <w:tcBorders>
              <w:tl2br w:val="nil"/>
              <w:tr2bl w:val="nil"/>
            </w:tcBorders>
            <w:vAlign w:val="center"/>
          </w:tcPr>
          <w:p w14:paraId="14677B92" w14:textId="77777777" w:rsidR="000F6BCB" w:rsidRDefault="00000000" w:rsidP="00E76DF1">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计划数</w:t>
            </w:r>
          </w:p>
        </w:tc>
        <w:tc>
          <w:tcPr>
            <w:tcW w:w="2720" w:type="dxa"/>
            <w:tcBorders>
              <w:tl2br w:val="nil"/>
              <w:tr2bl w:val="nil"/>
            </w:tcBorders>
            <w:vAlign w:val="center"/>
          </w:tcPr>
          <w:p w14:paraId="747C24D3" w14:textId="77777777" w:rsidR="000F6BCB" w:rsidRDefault="00000000" w:rsidP="00E76DF1">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学习地点</w:t>
            </w:r>
          </w:p>
        </w:tc>
        <w:tc>
          <w:tcPr>
            <w:tcW w:w="1967" w:type="dxa"/>
            <w:tcBorders>
              <w:tl2br w:val="nil"/>
              <w:tr2bl w:val="nil"/>
            </w:tcBorders>
            <w:vAlign w:val="center"/>
          </w:tcPr>
          <w:p w14:paraId="17355009" w14:textId="77777777" w:rsidR="000F6BCB" w:rsidRDefault="00000000" w:rsidP="00E76DF1">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专业要求</w:t>
            </w:r>
          </w:p>
        </w:tc>
      </w:tr>
      <w:tr w:rsidR="000F6BCB" w14:paraId="225ED6DB" w14:textId="77777777" w:rsidTr="00E76DF1">
        <w:trPr>
          <w:trHeight w:hRule="exact" w:val="567"/>
          <w:jc w:val="center"/>
        </w:trPr>
        <w:tc>
          <w:tcPr>
            <w:tcW w:w="2548" w:type="dxa"/>
            <w:tcBorders>
              <w:tl2br w:val="nil"/>
              <w:tr2bl w:val="nil"/>
            </w:tcBorders>
            <w:vAlign w:val="center"/>
          </w:tcPr>
          <w:p w14:paraId="093E8E9F"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机械电子工程</w:t>
            </w:r>
          </w:p>
        </w:tc>
        <w:tc>
          <w:tcPr>
            <w:tcW w:w="790" w:type="dxa"/>
            <w:tcBorders>
              <w:tl2br w:val="nil"/>
              <w:tr2bl w:val="nil"/>
            </w:tcBorders>
            <w:vAlign w:val="center"/>
          </w:tcPr>
          <w:p w14:paraId="61835E8E"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tcBorders>
              <w:tl2br w:val="nil"/>
              <w:tr2bl w:val="nil"/>
            </w:tcBorders>
            <w:vAlign w:val="center"/>
          </w:tcPr>
          <w:p w14:paraId="56B4A572"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90</w:t>
            </w:r>
          </w:p>
        </w:tc>
        <w:tc>
          <w:tcPr>
            <w:tcW w:w="2720" w:type="dxa"/>
            <w:tcBorders>
              <w:tl2br w:val="nil"/>
              <w:tr2bl w:val="nil"/>
            </w:tcBorders>
            <w:vAlign w:val="center"/>
          </w:tcPr>
          <w:p w14:paraId="0F941DE3"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天津中德应用技术大学</w:t>
            </w:r>
          </w:p>
        </w:tc>
        <w:tc>
          <w:tcPr>
            <w:tcW w:w="1967" w:type="dxa"/>
            <w:vMerge w:val="restart"/>
            <w:tcBorders>
              <w:tl2br w:val="nil"/>
              <w:tr2bl w:val="nil"/>
            </w:tcBorders>
            <w:vAlign w:val="center"/>
          </w:tcPr>
          <w:p w14:paraId="2BCE3066" w14:textId="77777777" w:rsidR="000F6BCB" w:rsidRDefault="00000000" w:rsidP="00E76DF1">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均对高职就读专业有要求，详见学校招生信息网“招生快讯”栏目《天津中德应用技术大学2025年高职升本科招生考试考生须知》</w:t>
            </w:r>
          </w:p>
        </w:tc>
      </w:tr>
      <w:tr w:rsidR="000F6BCB" w14:paraId="59638883" w14:textId="77777777" w:rsidTr="00E76DF1">
        <w:trPr>
          <w:trHeight w:hRule="exact" w:val="567"/>
          <w:jc w:val="center"/>
        </w:trPr>
        <w:tc>
          <w:tcPr>
            <w:tcW w:w="2548" w:type="dxa"/>
            <w:tcBorders>
              <w:tl2br w:val="nil"/>
              <w:tr2bl w:val="nil"/>
            </w:tcBorders>
            <w:vAlign w:val="center"/>
          </w:tcPr>
          <w:p w14:paraId="2FF25354"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自动化</w:t>
            </w:r>
          </w:p>
        </w:tc>
        <w:tc>
          <w:tcPr>
            <w:tcW w:w="790" w:type="dxa"/>
            <w:tcBorders>
              <w:tl2br w:val="nil"/>
              <w:tr2bl w:val="nil"/>
            </w:tcBorders>
            <w:vAlign w:val="center"/>
          </w:tcPr>
          <w:p w14:paraId="12F03157"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tcBorders>
              <w:tl2br w:val="nil"/>
              <w:tr2bl w:val="nil"/>
            </w:tcBorders>
            <w:vAlign w:val="center"/>
          </w:tcPr>
          <w:p w14:paraId="5B1CC6BA"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2720" w:type="dxa"/>
            <w:tcBorders>
              <w:tl2br w:val="nil"/>
              <w:tr2bl w:val="nil"/>
            </w:tcBorders>
            <w:vAlign w:val="center"/>
          </w:tcPr>
          <w:p w14:paraId="1DD83ADC"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天津中德应用技术大学</w:t>
            </w:r>
          </w:p>
        </w:tc>
        <w:tc>
          <w:tcPr>
            <w:tcW w:w="1967" w:type="dxa"/>
            <w:vMerge/>
            <w:tcBorders>
              <w:tl2br w:val="nil"/>
              <w:tr2bl w:val="nil"/>
            </w:tcBorders>
            <w:vAlign w:val="center"/>
          </w:tcPr>
          <w:p w14:paraId="3F8CDF73" w14:textId="77777777" w:rsidR="000F6BCB" w:rsidRDefault="000F6BCB"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0F6BCB" w14:paraId="0D19C84D" w14:textId="77777777" w:rsidTr="00E76DF1">
        <w:trPr>
          <w:trHeight w:hRule="exact" w:val="567"/>
          <w:jc w:val="center"/>
        </w:trPr>
        <w:tc>
          <w:tcPr>
            <w:tcW w:w="2548" w:type="dxa"/>
            <w:tcBorders>
              <w:tl2br w:val="nil"/>
              <w:tr2bl w:val="nil"/>
            </w:tcBorders>
            <w:vAlign w:val="center"/>
          </w:tcPr>
          <w:p w14:paraId="5B17E825"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飞行器制造工程</w:t>
            </w:r>
          </w:p>
        </w:tc>
        <w:tc>
          <w:tcPr>
            <w:tcW w:w="790" w:type="dxa"/>
            <w:tcBorders>
              <w:tl2br w:val="nil"/>
              <w:tr2bl w:val="nil"/>
            </w:tcBorders>
            <w:vAlign w:val="center"/>
          </w:tcPr>
          <w:p w14:paraId="19AF4DBB"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tcBorders>
              <w:tl2br w:val="nil"/>
              <w:tr2bl w:val="nil"/>
            </w:tcBorders>
            <w:vAlign w:val="center"/>
          </w:tcPr>
          <w:p w14:paraId="64576B39"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2720" w:type="dxa"/>
            <w:tcBorders>
              <w:tl2br w:val="nil"/>
              <w:tr2bl w:val="nil"/>
            </w:tcBorders>
            <w:vAlign w:val="center"/>
          </w:tcPr>
          <w:p w14:paraId="65BAE780"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天津中德应用技术大学</w:t>
            </w:r>
          </w:p>
        </w:tc>
        <w:tc>
          <w:tcPr>
            <w:tcW w:w="1967" w:type="dxa"/>
            <w:vMerge/>
            <w:tcBorders>
              <w:tl2br w:val="nil"/>
              <w:tr2bl w:val="nil"/>
            </w:tcBorders>
            <w:vAlign w:val="center"/>
          </w:tcPr>
          <w:p w14:paraId="28D99F59" w14:textId="77777777" w:rsidR="000F6BCB" w:rsidRDefault="000F6BCB"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0F6BCB" w14:paraId="74B9777A" w14:textId="77777777" w:rsidTr="00E76DF1">
        <w:trPr>
          <w:trHeight w:hRule="exact" w:val="567"/>
          <w:jc w:val="center"/>
        </w:trPr>
        <w:tc>
          <w:tcPr>
            <w:tcW w:w="2548" w:type="dxa"/>
            <w:tcBorders>
              <w:tl2br w:val="nil"/>
              <w:tr2bl w:val="nil"/>
            </w:tcBorders>
            <w:vAlign w:val="center"/>
          </w:tcPr>
          <w:p w14:paraId="6680B7CF"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通信工程</w:t>
            </w:r>
          </w:p>
        </w:tc>
        <w:tc>
          <w:tcPr>
            <w:tcW w:w="790" w:type="dxa"/>
            <w:tcBorders>
              <w:tl2br w:val="nil"/>
              <w:tr2bl w:val="nil"/>
            </w:tcBorders>
            <w:vAlign w:val="center"/>
          </w:tcPr>
          <w:p w14:paraId="5F9B2720"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tcBorders>
              <w:tl2br w:val="nil"/>
              <w:tr2bl w:val="nil"/>
            </w:tcBorders>
            <w:vAlign w:val="center"/>
          </w:tcPr>
          <w:p w14:paraId="140C1B64"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2720" w:type="dxa"/>
            <w:tcBorders>
              <w:tl2br w:val="nil"/>
              <w:tr2bl w:val="nil"/>
            </w:tcBorders>
            <w:vAlign w:val="center"/>
          </w:tcPr>
          <w:p w14:paraId="3DE4572A"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天津铁道职业技术学院</w:t>
            </w:r>
          </w:p>
        </w:tc>
        <w:tc>
          <w:tcPr>
            <w:tcW w:w="1967" w:type="dxa"/>
            <w:vMerge/>
            <w:tcBorders>
              <w:tl2br w:val="nil"/>
              <w:tr2bl w:val="nil"/>
            </w:tcBorders>
            <w:vAlign w:val="center"/>
          </w:tcPr>
          <w:p w14:paraId="497B2E5C" w14:textId="77777777" w:rsidR="000F6BCB" w:rsidRDefault="000F6BCB"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0F6BCB" w14:paraId="605D8A95" w14:textId="77777777" w:rsidTr="00E76DF1">
        <w:trPr>
          <w:trHeight w:hRule="exact" w:val="567"/>
          <w:jc w:val="center"/>
        </w:trPr>
        <w:tc>
          <w:tcPr>
            <w:tcW w:w="2548" w:type="dxa"/>
            <w:tcBorders>
              <w:tl2br w:val="nil"/>
              <w:tr2bl w:val="nil"/>
            </w:tcBorders>
            <w:vAlign w:val="center"/>
          </w:tcPr>
          <w:p w14:paraId="4CFCE360"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物流管理</w:t>
            </w:r>
          </w:p>
        </w:tc>
        <w:tc>
          <w:tcPr>
            <w:tcW w:w="790" w:type="dxa"/>
            <w:tcBorders>
              <w:tl2br w:val="nil"/>
              <w:tr2bl w:val="nil"/>
            </w:tcBorders>
            <w:vAlign w:val="center"/>
          </w:tcPr>
          <w:p w14:paraId="4262A524"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tcBorders>
              <w:tl2br w:val="nil"/>
              <w:tr2bl w:val="nil"/>
            </w:tcBorders>
            <w:vAlign w:val="center"/>
          </w:tcPr>
          <w:p w14:paraId="69F7167E"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2720" w:type="dxa"/>
            <w:tcBorders>
              <w:tl2br w:val="nil"/>
              <w:tr2bl w:val="nil"/>
            </w:tcBorders>
            <w:vAlign w:val="center"/>
          </w:tcPr>
          <w:p w14:paraId="20ADD5C5"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天津中德应用技术大学</w:t>
            </w:r>
          </w:p>
        </w:tc>
        <w:tc>
          <w:tcPr>
            <w:tcW w:w="1967" w:type="dxa"/>
            <w:vMerge/>
            <w:tcBorders>
              <w:tl2br w:val="nil"/>
              <w:tr2bl w:val="nil"/>
            </w:tcBorders>
            <w:vAlign w:val="center"/>
          </w:tcPr>
          <w:p w14:paraId="357BE79C" w14:textId="77777777" w:rsidR="000F6BCB" w:rsidRDefault="000F6BCB"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0F6BCB" w14:paraId="3C95A966" w14:textId="77777777" w:rsidTr="00E76DF1">
        <w:trPr>
          <w:trHeight w:hRule="exact" w:val="607"/>
          <w:jc w:val="center"/>
        </w:trPr>
        <w:tc>
          <w:tcPr>
            <w:tcW w:w="2548" w:type="dxa"/>
            <w:tcBorders>
              <w:tl2br w:val="nil"/>
              <w:tr2bl w:val="nil"/>
            </w:tcBorders>
            <w:vAlign w:val="center"/>
          </w:tcPr>
          <w:p w14:paraId="5F8DB90E" w14:textId="77777777" w:rsidR="000F6BCB" w:rsidRDefault="00000000" w:rsidP="00E76DF1">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机械电子工程</w:t>
            </w:r>
          </w:p>
          <w:p w14:paraId="6B0E7532" w14:textId="77777777" w:rsidR="000F6BCB" w:rsidRDefault="00000000" w:rsidP="00E76DF1">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（技能</w:t>
            </w:r>
            <w:proofErr w:type="gramStart"/>
            <w:r>
              <w:rPr>
                <w:rFonts w:ascii="仿宋_GB2312" w:eastAsia="仿宋_GB2312" w:hAnsi="Calibri" w:hint="eastAsia"/>
                <w:color w:val="101010"/>
                <w:kern w:val="2"/>
                <w:shd w:val="clear" w:color="auto" w:fill="FFFFFF"/>
              </w:rPr>
              <w:t>大赛推免班</w:t>
            </w:r>
            <w:proofErr w:type="gramEnd"/>
            <w:r>
              <w:rPr>
                <w:rFonts w:ascii="仿宋_GB2312" w:eastAsia="仿宋_GB2312" w:hAnsi="Calibri" w:hint="eastAsia"/>
                <w:color w:val="101010"/>
                <w:kern w:val="2"/>
                <w:shd w:val="clear" w:color="auto" w:fill="FFFFFF"/>
              </w:rPr>
              <w:t>）</w:t>
            </w:r>
          </w:p>
        </w:tc>
        <w:tc>
          <w:tcPr>
            <w:tcW w:w="790" w:type="dxa"/>
            <w:tcBorders>
              <w:tl2br w:val="nil"/>
              <w:tr2bl w:val="nil"/>
            </w:tcBorders>
            <w:vAlign w:val="center"/>
          </w:tcPr>
          <w:p w14:paraId="13A60B5A"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vMerge w:val="restart"/>
            <w:tcBorders>
              <w:tl2br w:val="nil"/>
              <w:tr2bl w:val="nil"/>
            </w:tcBorders>
            <w:vAlign w:val="center"/>
          </w:tcPr>
          <w:p w14:paraId="425C4D25"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w:t>
            </w:r>
          </w:p>
        </w:tc>
        <w:tc>
          <w:tcPr>
            <w:tcW w:w="2720" w:type="dxa"/>
            <w:tcBorders>
              <w:tl2br w:val="nil"/>
              <w:tr2bl w:val="nil"/>
            </w:tcBorders>
            <w:vAlign w:val="center"/>
          </w:tcPr>
          <w:p w14:paraId="752F0637"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天津中德应用技术大学</w:t>
            </w:r>
          </w:p>
        </w:tc>
        <w:tc>
          <w:tcPr>
            <w:tcW w:w="1967" w:type="dxa"/>
            <w:vMerge w:val="restart"/>
            <w:tcBorders>
              <w:tl2br w:val="nil"/>
              <w:tr2bl w:val="nil"/>
            </w:tcBorders>
            <w:vAlign w:val="center"/>
          </w:tcPr>
          <w:p w14:paraId="2474F205" w14:textId="77777777" w:rsidR="000F6BCB" w:rsidRDefault="00000000" w:rsidP="00E76DF1">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按市教委相关要求执行</w:t>
            </w:r>
          </w:p>
        </w:tc>
      </w:tr>
      <w:tr w:rsidR="000F6BCB" w14:paraId="4DC8B30F" w14:textId="77777777" w:rsidTr="00E76DF1">
        <w:trPr>
          <w:trHeight w:hRule="exact" w:val="657"/>
          <w:jc w:val="center"/>
        </w:trPr>
        <w:tc>
          <w:tcPr>
            <w:tcW w:w="2548" w:type="dxa"/>
            <w:tcBorders>
              <w:tl2br w:val="nil"/>
              <w:tr2bl w:val="nil"/>
            </w:tcBorders>
            <w:vAlign w:val="center"/>
          </w:tcPr>
          <w:p w14:paraId="03C0DB1C" w14:textId="77777777" w:rsidR="000F6BCB" w:rsidRDefault="00000000" w:rsidP="00E76DF1">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自动化</w:t>
            </w:r>
          </w:p>
          <w:p w14:paraId="175556A6" w14:textId="77777777" w:rsidR="000F6BCB" w:rsidRDefault="00000000" w:rsidP="00E76DF1">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（技能</w:t>
            </w:r>
            <w:proofErr w:type="gramStart"/>
            <w:r>
              <w:rPr>
                <w:rFonts w:ascii="仿宋_GB2312" w:eastAsia="仿宋_GB2312" w:hAnsi="Calibri" w:hint="eastAsia"/>
                <w:color w:val="101010"/>
                <w:kern w:val="2"/>
                <w:shd w:val="clear" w:color="auto" w:fill="FFFFFF"/>
              </w:rPr>
              <w:t>大赛推免班</w:t>
            </w:r>
            <w:proofErr w:type="gramEnd"/>
            <w:r>
              <w:rPr>
                <w:rFonts w:ascii="仿宋_GB2312" w:eastAsia="仿宋_GB2312" w:hAnsi="Calibri" w:hint="eastAsia"/>
                <w:color w:val="101010"/>
                <w:kern w:val="2"/>
                <w:shd w:val="clear" w:color="auto" w:fill="FFFFFF"/>
              </w:rPr>
              <w:t>）</w:t>
            </w:r>
          </w:p>
        </w:tc>
        <w:tc>
          <w:tcPr>
            <w:tcW w:w="790" w:type="dxa"/>
            <w:tcBorders>
              <w:tl2br w:val="nil"/>
              <w:tr2bl w:val="nil"/>
            </w:tcBorders>
            <w:vAlign w:val="center"/>
          </w:tcPr>
          <w:p w14:paraId="427556A6" w14:textId="77777777" w:rsidR="000F6BCB" w:rsidRDefault="00000000" w:rsidP="00E76DF1">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80" w:type="dxa"/>
            <w:vMerge/>
            <w:tcBorders>
              <w:tl2br w:val="nil"/>
              <w:tr2bl w:val="nil"/>
            </w:tcBorders>
            <w:vAlign w:val="center"/>
          </w:tcPr>
          <w:p w14:paraId="73D721CC" w14:textId="77777777" w:rsidR="000F6BCB" w:rsidRDefault="000F6BCB" w:rsidP="00E76DF1">
            <w:pPr>
              <w:pStyle w:val="a6"/>
              <w:widowControl/>
              <w:spacing w:beforeAutospacing="0" w:afterAutospacing="0" w:line="375" w:lineRule="atLeast"/>
              <w:jc w:val="both"/>
              <w:rPr>
                <w:rFonts w:ascii="仿宋_GB2312" w:eastAsia="仿宋_GB2312" w:hAnsi="Calibri"/>
                <w:color w:val="101010"/>
                <w:kern w:val="2"/>
                <w:shd w:val="clear" w:color="auto" w:fill="FFFFFF"/>
              </w:rPr>
            </w:pPr>
          </w:p>
        </w:tc>
        <w:tc>
          <w:tcPr>
            <w:tcW w:w="2720" w:type="dxa"/>
            <w:tcBorders>
              <w:tl2br w:val="nil"/>
              <w:tr2bl w:val="nil"/>
            </w:tcBorders>
            <w:vAlign w:val="center"/>
          </w:tcPr>
          <w:p w14:paraId="38060FA4" w14:textId="77777777" w:rsidR="000F6BCB" w:rsidRDefault="00000000" w:rsidP="00E76DF1">
            <w:pPr>
              <w:pStyle w:val="a6"/>
              <w:widowControl/>
              <w:spacing w:beforeAutospacing="0" w:afterAutospacing="0" w:line="375" w:lineRule="atLeast"/>
              <w:jc w:val="both"/>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天津中德应用技术大学</w:t>
            </w:r>
          </w:p>
        </w:tc>
        <w:tc>
          <w:tcPr>
            <w:tcW w:w="1967" w:type="dxa"/>
            <w:vMerge/>
            <w:tcBorders>
              <w:tl2br w:val="nil"/>
              <w:tr2bl w:val="nil"/>
            </w:tcBorders>
            <w:vAlign w:val="center"/>
          </w:tcPr>
          <w:p w14:paraId="2E09EB76" w14:textId="77777777" w:rsidR="000F6BCB" w:rsidRDefault="000F6BCB" w:rsidP="00E76DF1">
            <w:pPr>
              <w:pStyle w:val="a6"/>
              <w:widowControl/>
              <w:spacing w:beforeAutospacing="0" w:afterAutospacing="0" w:line="375" w:lineRule="atLeast"/>
              <w:jc w:val="both"/>
              <w:rPr>
                <w:rFonts w:ascii="仿宋_GB2312" w:eastAsia="仿宋_GB2312" w:hAnsi="Calibri"/>
                <w:color w:val="101010"/>
                <w:kern w:val="2"/>
                <w:shd w:val="clear" w:color="auto" w:fill="FFFFFF"/>
              </w:rPr>
            </w:pPr>
          </w:p>
        </w:tc>
      </w:tr>
    </w:tbl>
    <w:p w14:paraId="0108EF31"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olor w:val="101010"/>
          <w:kern w:val="2"/>
          <w:shd w:val="clear" w:color="auto" w:fill="FFFFFF"/>
        </w:rPr>
      </w:pPr>
      <w:r>
        <w:rPr>
          <w:rFonts w:ascii="仿宋_GB2312" w:eastAsia="仿宋_GB2312" w:hAnsi="Calibri" w:cs="仿宋_GB2312" w:hint="eastAsia"/>
          <w:color w:val="101010"/>
          <w:kern w:val="2"/>
          <w:sz w:val="32"/>
          <w:szCs w:val="32"/>
          <w:shd w:val="clear" w:color="auto" w:fill="FFFFFF"/>
        </w:rPr>
        <w:t>招生计划以天津市教育招生考试</w:t>
      </w:r>
      <w:proofErr w:type="gramStart"/>
      <w:r>
        <w:rPr>
          <w:rFonts w:ascii="仿宋_GB2312" w:eastAsia="仿宋_GB2312" w:hAnsi="Calibri" w:cs="仿宋_GB2312" w:hint="eastAsia"/>
          <w:color w:val="101010"/>
          <w:kern w:val="2"/>
          <w:sz w:val="32"/>
          <w:szCs w:val="32"/>
          <w:shd w:val="clear" w:color="auto" w:fill="FFFFFF"/>
        </w:rPr>
        <w:t>院公布</w:t>
      </w:r>
      <w:proofErr w:type="gramEnd"/>
      <w:r>
        <w:rPr>
          <w:rFonts w:ascii="仿宋_GB2312" w:eastAsia="仿宋_GB2312" w:hAnsi="Calibri" w:cs="仿宋_GB2312" w:hint="eastAsia"/>
          <w:color w:val="101010"/>
          <w:kern w:val="2"/>
          <w:sz w:val="32"/>
          <w:szCs w:val="32"/>
          <w:shd w:val="clear" w:color="auto" w:fill="FFFFFF"/>
        </w:rPr>
        <w:t>最终计划为准。</w:t>
      </w:r>
    </w:p>
    <w:p w14:paraId="0E1783D9"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仿宋_GB2312" w:eastAsia="仿宋_GB2312" w:hAnsi="Calibri" w:cs="仿宋_GB2312" w:hint="eastAsia"/>
          <w:color w:val="101010"/>
          <w:kern w:val="2"/>
          <w:sz w:val="32"/>
          <w:szCs w:val="32"/>
          <w:shd w:val="clear" w:color="auto" w:fill="FFFFFF"/>
        </w:rPr>
        <w:lastRenderedPageBreak/>
        <w:t>专业课报名及考试安排详见学校招办网站发布的《天津中德应用技术大学2025年高职升本科专业课报名确认及考试通知》。</w:t>
      </w:r>
    </w:p>
    <w:p w14:paraId="06D08668"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第九条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天津市高等职业院校应届毕业生，在校学习期间，参加高职院校技能大赛，获得奖项符合天津市教委相关规定且符合天津市教委批准免试推荐项目的，可免试推荐到我校机械电子工程、自动化本科专业学习。符合免试推荐的考生，按天津市教委相关规定履行相关手续。</w:t>
      </w:r>
    </w:p>
    <w:p w14:paraId="2BF9B35E" w14:textId="158085F8"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第十条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学费标准：物流管理专业学费为</w:t>
      </w:r>
      <w:r>
        <w:rPr>
          <w:rFonts w:ascii="仿宋_GB2312" w:eastAsia="仿宋_GB2312" w:hAnsi="Calibri" w:hint="eastAsia"/>
          <w:color w:val="101010"/>
          <w:kern w:val="2"/>
          <w:sz w:val="32"/>
          <w:szCs w:val="32"/>
          <w:shd w:val="clear" w:color="auto" w:fill="FFFFFF"/>
        </w:rPr>
        <w:t>4400元/年，机械电子工程、自动化、飞行器制造工程、通信工程、机械电子工程（技能</w:t>
      </w:r>
      <w:proofErr w:type="gramStart"/>
      <w:r>
        <w:rPr>
          <w:rFonts w:ascii="仿宋_GB2312" w:eastAsia="仿宋_GB2312" w:hAnsi="Calibri" w:hint="eastAsia"/>
          <w:color w:val="101010"/>
          <w:kern w:val="2"/>
          <w:sz w:val="32"/>
          <w:szCs w:val="32"/>
          <w:shd w:val="clear" w:color="auto" w:fill="FFFFFF"/>
        </w:rPr>
        <w:t>大赛推免班</w:t>
      </w:r>
      <w:proofErr w:type="gramEnd"/>
      <w:r>
        <w:rPr>
          <w:rFonts w:ascii="仿宋_GB2312" w:eastAsia="仿宋_GB2312" w:hAnsi="Calibri" w:hint="eastAsia"/>
          <w:color w:val="101010"/>
          <w:kern w:val="2"/>
          <w:sz w:val="32"/>
          <w:szCs w:val="32"/>
          <w:shd w:val="clear" w:color="auto" w:fill="FFFFFF"/>
        </w:rPr>
        <w:t>）、自动化（技能</w:t>
      </w:r>
      <w:proofErr w:type="gramStart"/>
      <w:r>
        <w:rPr>
          <w:rFonts w:ascii="仿宋_GB2312" w:eastAsia="仿宋_GB2312" w:hAnsi="Calibri" w:hint="eastAsia"/>
          <w:color w:val="101010"/>
          <w:kern w:val="2"/>
          <w:sz w:val="32"/>
          <w:szCs w:val="32"/>
          <w:shd w:val="clear" w:color="auto" w:fill="FFFFFF"/>
        </w:rPr>
        <w:t>大赛推免班</w:t>
      </w:r>
      <w:proofErr w:type="gramEnd"/>
      <w:r>
        <w:rPr>
          <w:rFonts w:ascii="仿宋_GB2312" w:eastAsia="仿宋_GB2312" w:hAnsi="Calibri" w:hint="eastAsia"/>
          <w:color w:val="101010"/>
          <w:kern w:val="2"/>
          <w:sz w:val="32"/>
          <w:szCs w:val="32"/>
          <w:shd w:val="clear" w:color="auto" w:fill="FFFFFF"/>
        </w:rPr>
        <w:t>）等专业学费为540</w:t>
      </w:r>
      <w:r w:rsidR="00680A94">
        <w:rPr>
          <w:rFonts w:ascii="仿宋_GB2312" w:eastAsia="仿宋_GB2312" w:hAnsi="Calibri" w:hint="eastAsia"/>
          <w:color w:val="101010"/>
          <w:kern w:val="2"/>
          <w:sz w:val="32"/>
          <w:szCs w:val="32"/>
          <w:shd w:val="clear" w:color="auto" w:fill="FFFFFF"/>
        </w:rPr>
        <w:t>0</w:t>
      </w:r>
      <w:r>
        <w:rPr>
          <w:rFonts w:ascii="仿宋_GB2312" w:eastAsia="仿宋_GB2312" w:hAnsi="Calibri" w:hint="eastAsia"/>
          <w:color w:val="101010"/>
          <w:kern w:val="2"/>
          <w:sz w:val="32"/>
          <w:szCs w:val="32"/>
          <w:shd w:val="clear" w:color="auto" w:fill="FFFFFF"/>
        </w:rPr>
        <w:t>元/年，如政府对当年度学费标准进行调整，以政府规定的标准为准。</w:t>
      </w:r>
    </w:p>
    <w:p w14:paraId="7EE57E53" w14:textId="77777777" w:rsidR="000F6BCB" w:rsidRDefault="00000000" w:rsidP="00680A94">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第四章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录取规则</w:t>
      </w:r>
    </w:p>
    <w:p w14:paraId="4C70520D"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第十一条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我校招生录取工作遵循公平竞争、公正选拔、公开程序的原则</w:t>
      </w:r>
      <w:r>
        <w:rPr>
          <w:rFonts w:ascii="仿宋_GB2312" w:eastAsia="仿宋_GB2312" w:hAnsi="Calibri" w:hint="eastAsia"/>
          <w:color w:val="101010"/>
          <w:kern w:val="2"/>
          <w:sz w:val="32"/>
          <w:szCs w:val="32"/>
          <w:shd w:val="clear" w:color="auto" w:fill="FFFFFF"/>
        </w:rPr>
        <w:t>; 执行国家教育部、天津市招生委员会制定的录取政策和本章程的相关规定; 以考生填报的志愿和参加天津市2025年高职升本科文化课、专业课考试的总成绩，择优录取。</w:t>
      </w:r>
    </w:p>
    <w:p w14:paraId="3A37290F"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第十二条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报考我校考生</w:t>
      </w:r>
      <w:r>
        <w:rPr>
          <w:rFonts w:ascii="仿宋_GB2312" w:eastAsia="仿宋_GB2312" w:hAnsi="Calibri" w:hint="eastAsia"/>
          <w:color w:val="101010"/>
          <w:kern w:val="2"/>
          <w:sz w:val="32"/>
          <w:szCs w:val="32"/>
          <w:shd w:val="clear" w:color="auto" w:fill="FFFFFF"/>
        </w:rPr>
        <w:t>(技能大赛推荐免试除外)必须参加我校的专业课考试，否则不予录取。考生只能填报我校一个专业志愿，专业志愿之间不能调剂，重复填报我校专业志愿的填报信息无效。符合免试专升本条件，免予参加文化课考试的退役大学生士兵，须符合我校专业报考要求（单独组织报名，报名时间</w:t>
      </w:r>
      <w:r>
        <w:rPr>
          <w:rFonts w:ascii="仿宋_GB2312" w:eastAsia="仿宋_GB2312" w:hAnsi="Calibri" w:hint="eastAsia"/>
          <w:color w:val="101010"/>
          <w:kern w:val="2"/>
          <w:sz w:val="32"/>
          <w:szCs w:val="32"/>
          <w:shd w:val="clear" w:color="auto" w:fill="FFFFFF"/>
        </w:rPr>
        <w:lastRenderedPageBreak/>
        <w:t>及安排在学校招生信息网另行通知），参加我校组织的专业课考试，专业课考试成绩60分（含）以上为合格（满分200分）。</w:t>
      </w:r>
    </w:p>
    <w:p w14:paraId="62987C5B"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第十三条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总成绩相同时，优先录取文化课成绩较高的考生；文化课成绩仍相同，则按照文化课成绩中数学、英语、计算机顺序</w:t>
      </w:r>
      <w:r>
        <w:rPr>
          <w:rFonts w:ascii="仿宋_GB2312" w:eastAsia="仿宋_GB2312" w:hAnsi="Calibri" w:hint="eastAsia"/>
          <w:color w:val="101010"/>
          <w:kern w:val="2"/>
          <w:sz w:val="32"/>
          <w:szCs w:val="32"/>
          <w:shd w:val="clear" w:color="auto" w:fill="FFFFFF"/>
        </w:rPr>
        <w:t>,优先录取单科成绩较高的考生。</w:t>
      </w:r>
    </w:p>
    <w:p w14:paraId="2E168FEE"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第十四条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高职升本科招生专业公共外语课程均为英</w:t>
      </w:r>
      <w:r>
        <w:rPr>
          <w:rFonts w:ascii="仿宋_GB2312" w:eastAsia="仿宋_GB2312" w:hAnsi="Calibri" w:cs="仿宋_GB2312"/>
          <w:color w:val="101010"/>
          <w:kern w:val="2"/>
          <w:sz w:val="32"/>
          <w:szCs w:val="32"/>
          <w:shd w:val="clear" w:color="auto" w:fill="FFFFFF"/>
        </w:rPr>
        <w:t>语，小语种考生慎重填报</w:t>
      </w:r>
      <w:r>
        <w:rPr>
          <w:rFonts w:ascii="仿宋_GB2312" w:eastAsia="仿宋_GB2312" w:hAnsi="Calibri" w:cs="仿宋_GB2312" w:hint="eastAsia"/>
          <w:color w:val="101010"/>
          <w:kern w:val="2"/>
          <w:sz w:val="32"/>
          <w:szCs w:val="32"/>
          <w:shd w:val="clear" w:color="auto" w:fill="FFFFFF"/>
        </w:rPr>
        <w:t>。</w:t>
      </w:r>
    </w:p>
    <w:p w14:paraId="20BE7F59"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第十五条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依照教育部、卫生部、中国残疾人联合会颁布的《普通高等学校招生体检工作指导意见》，对考生身体健康状况进行审查和复查。对不符合标准的，按指导意见的相关规定处理。</w:t>
      </w:r>
    </w:p>
    <w:p w14:paraId="701D04B6"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第十六条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录取结果公布方式</w:t>
      </w:r>
      <w:r>
        <w:rPr>
          <w:rFonts w:ascii="仿宋_GB2312" w:eastAsia="仿宋_GB2312" w:hAnsi="Calibri" w:hint="eastAsia"/>
          <w:color w:val="101010"/>
          <w:kern w:val="2"/>
          <w:sz w:val="32"/>
          <w:szCs w:val="32"/>
          <w:shd w:val="clear" w:color="auto" w:fill="FFFFFF"/>
        </w:rPr>
        <w:t>: 经天津市高等学校招生办公室审核批准录取的考生，通过我校招生网站公布录取结果。录取的考生凭录取通知书按时到校报到，办理相关事宜。</w:t>
      </w:r>
    </w:p>
    <w:p w14:paraId="482E8F75" w14:textId="77777777" w:rsidR="000F6BCB" w:rsidRDefault="00000000" w:rsidP="00680A94">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第五章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后续管理</w:t>
      </w:r>
    </w:p>
    <w:p w14:paraId="2CD5D70E"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第十七条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新生入学后，学校将依据教育部有关规定进行新生资格审查和身体复查，复查不合格者，学校将视情况予以处理，直至取消入学资格。对未获得高职</w:t>
      </w:r>
      <w:r>
        <w:rPr>
          <w:rFonts w:ascii="仿宋_GB2312" w:eastAsia="仿宋_GB2312" w:hAnsi="Calibri" w:hint="eastAsia"/>
          <w:color w:val="101010"/>
          <w:kern w:val="2"/>
          <w:sz w:val="32"/>
          <w:szCs w:val="32"/>
          <w:shd w:val="clear" w:color="auto" w:fill="FFFFFF"/>
        </w:rPr>
        <w:t>(高专) 毕业证书的，一律取消录取资格、不予注册学籍。</w:t>
      </w:r>
    </w:p>
    <w:p w14:paraId="22910E9B"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第十八条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高职升本科的教学计划均按照天津中德应用技术大学教学人才培养方案执行。学生按照《天津中德应用技术大学本科学生学籍管理规定》及天津中德应用技术大学学生管理相关规定等规章制度进行管理。</w:t>
      </w:r>
    </w:p>
    <w:p w14:paraId="5AFD49F6"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lastRenderedPageBreak/>
        <w:t>第十九条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学生完成规定学业，经审查达到毕业标准的，颁发天津中德应用技术大学全日制普通高等学校高职升本科毕业证书，对符合天津中德应用技术大学学士学位授予条件的毕业生，授予学士学位。</w:t>
      </w:r>
    </w:p>
    <w:p w14:paraId="6F7F46FB"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天津中德应用技术大学设有学生受益面达</w:t>
      </w:r>
      <w:r>
        <w:rPr>
          <w:rFonts w:ascii="仿宋_GB2312" w:eastAsia="仿宋_GB2312" w:hAnsi="Calibri" w:hint="eastAsia"/>
          <w:color w:val="101010"/>
          <w:kern w:val="2"/>
          <w:sz w:val="32"/>
          <w:szCs w:val="32"/>
          <w:shd w:val="clear" w:color="auto" w:fill="FFFFFF"/>
        </w:rPr>
        <w:t>30%以上的奖(助) 学金，并设有国家助学贷款和勤工助学岗位，帮助经济困难的学生完成学业。</w:t>
      </w:r>
    </w:p>
    <w:p w14:paraId="0E0B8B77" w14:textId="77777777" w:rsidR="000F6BCB" w:rsidRDefault="00000000" w:rsidP="00680A94">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第六章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附则</w:t>
      </w:r>
    </w:p>
    <w:p w14:paraId="07241299" w14:textId="77777777" w:rsidR="000F6BCB" w:rsidRDefault="00000000" w:rsidP="00E76DF1">
      <w:pPr>
        <w:pStyle w:val="a6"/>
        <w:widowControl/>
        <w:spacing w:beforeAutospacing="0" w:afterAutospacing="0" w:line="375" w:lineRule="atLeast"/>
        <w:ind w:firstLineChars="200" w:firstLine="640"/>
        <w:jc w:val="both"/>
        <w:rPr>
          <w:rFonts w:ascii="黑体" w:eastAsia="黑体" w:hAnsi="宋体" w:cs="黑体" w:hint="eastAsia"/>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 xml:space="preserve">第二十一条  </w:t>
      </w:r>
      <w:r>
        <w:rPr>
          <w:rFonts w:ascii="仿宋_GB2312" w:eastAsia="仿宋_GB2312" w:hAnsi="Calibri" w:cs="仿宋_GB2312" w:hint="eastAsia"/>
          <w:color w:val="101010"/>
          <w:kern w:val="2"/>
          <w:sz w:val="32"/>
          <w:szCs w:val="32"/>
          <w:shd w:val="clear" w:color="auto" w:fill="FFFFFF"/>
        </w:rPr>
        <w:t>通信工程专业学习地点在天津铁道职业技术学院（天津市河北区建昌道21号）</w:t>
      </w:r>
    </w:p>
    <w:p w14:paraId="64D072A0"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第二十二条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本章程仅适用于</w:t>
      </w:r>
      <w:r>
        <w:rPr>
          <w:rFonts w:ascii="仿宋_GB2312" w:eastAsia="仿宋_GB2312" w:hAnsi="Calibri" w:hint="eastAsia"/>
          <w:color w:val="101010"/>
          <w:kern w:val="2"/>
          <w:sz w:val="32"/>
          <w:szCs w:val="32"/>
          <w:shd w:val="clear" w:color="auto" w:fill="FFFFFF"/>
        </w:rPr>
        <w:t>2025年天津中德应用技术大学高职升本科招生工作。</w:t>
      </w:r>
    </w:p>
    <w:p w14:paraId="4046048B"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第二十三条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本章程自公布起开始执行。</w:t>
      </w:r>
    </w:p>
    <w:p w14:paraId="59FF7394"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第二十四条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招生宣传、咨询、录取工作，统一由学校招生委员会按照本章程和学校的相关规定具体组织实施。</w:t>
      </w:r>
    </w:p>
    <w:p w14:paraId="1709D9D4" w14:textId="77777777" w:rsidR="000F6BCB" w:rsidRDefault="00000000" w:rsidP="00E76DF1">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郑重声明：在招生咨询过程中招生咨询人员的个人意见、建议仅作为考生填报志愿的参考，不属学校录取承诺，考生对填报志愿负责；考生和家长也不得以任何形式要求招生咨询人员作任何不符合招生规定的承诺，同时我校不委托任何中介机构或个人进行招生录取活动。对考生及家长因受招生中介机构或个人欺骗而造成的损失，学校概不负责。</w:t>
      </w:r>
    </w:p>
    <w:p w14:paraId="536FA151"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第二十五条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本章程由天津中德应用技术大学招生办公室负责解释。</w:t>
      </w:r>
    </w:p>
    <w:p w14:paraId="3FBC8CD7" w14:textId="77777777" w:rsidR="000F6BCB" w:rsidRDefault="00000000" w:rsidP="00E76DF1">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lastRenderedPageBreak/>
        <w:t>第二十六条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咨询联系方式</w:t>
      </w:r>
    </w:p>
    <w:p w14:paraId="0865AC6C" w14:textId="77777777" w:rsidR="000F6BCB" w:rsidRPr="00680A94" w:rsidRDefault="00000000" w:rsidP="00E76DF1">
      <w:pPr>
        <w:ind w:firstLineChars="200" w:firstLine="640"/>
        <w:rPr>
          <w:rFonts w:ascii="仿宋_GB2312" w:eastAsia="仿宋_GB2312" w:hAnsi="Calibri" w:cs="仿宋_GB2312" w:hint="eastAsia"/>
          <w:color w:val="101010"/>
          <w:sz w:val="32"/>
          <w:szCs w:val="32"/>
          <w:shd w:val="clear" w:color="auto" w:fill="FFFFFF"/>
        </w:rPr>
      </w:pPr>
      <w:r w:rsidRPr="00680A94">
        <w:rPr>
          <w:rFonts w:ascii="仿宋_GB2312" w:eastAsia="仿宋_GB2312" w:hAnsi="Calibri" w:cs="仿宋_GB2312" w:hint="eastAsia"/>
          <w:color w:val="101010"/>
          <w:sz w:val="32"/>
          <w:szCs w:val="32"/>
          <w:shd w:val="clear" w:color="auto" w:fill="FFFFFF"/>
        </w:rPr>
        <w:t>学校网址：https://www.tsguas.edu.cn</w:t>
      </w:r>
    </w:p>
    <w:p w14:paraId="18771916" w14:textId="77777777" w:rsidR="000F6BCB" w:rsidRPr="00680A94" w:rsidRDefault="00000000" w:rsidP="00E76DF1">
      <w:pPr>
        <w:ind w:firstLineChars="200" w:firstLine="640"/>
        <w:rPr>
          <w:rFonts w:ascii="仿宋_GB2312" w:eastAsia="仿宋_GB2312" w:hAnsi="Calibri" w:cs="仿宋_GB2312" w:hint="eastAsia"/>
          <w:color w:val="101010"/>
          <w:sz w:val="32"/>
          <w:szCs w:val="32"/>
          <w:shd w:val="clear" w:color="auto" w:fill="FFFFFF"/>
        </w:rPr>
      </w:pPr>
      <w:r w:rsidRPr="00680A94">
        <w:rPr>
          <w:rFonts w:ascii="仿宋_GB2312" w:eastAsia="仿宋_GB2312" w:hAnsi="Calibri" w:cs="仿宋_GB2312" w:hint="eastAsia"/>
          <w:color w:val="101010"/>
          <w:sz w:val="32"/>
          <w:szCs w:val="32"/>
          <w:shd w:val="clear" w:color="auto" w:fill="FFFFFF"/>
        </w:rPr>
        <w:t>招生网址：https://zs.tsguas.edu.cn</w:t>
      </w:r>
      <w:r w:rsidRPr="00680A94">
        <w:rPr>
          <w:rFonts w:ascii="仿宋_GB2312" w:eastAsia="仿宋_GB2312" w:hAnsi="Calibri" w:cs="仿宋_GB2312" w:hint="eastAsia"/>
          <w:color w:val="101010"/>
          <w:sz w:val="32"/>
          <w:szCs w:val="32"/>
          <w:shd w:val="clear" w:color="auto" w:fill="FFFFFF"/>
        </w:rPr>
        <w:t> </w:t>
      </w:r>
    </w:p>
    <w:p w14:paraId="65A7756F" w14:textId="77777777" w:rsidR="000F6BCB" w:rsidRPr="00680A94" w:rsidRDefault="00000000" w:rsidP="00E76DF1">
      <w:pPr>
        <w:ind w:firstLineChars="200" w:firstLine="640"/>
        <w:rPr>
          <w:rFonts w:ascii="仿宋_GB2312" w:eastAsia="仿宋_GB2312" w:hAnsi="Calibri" w:cs="仿宋_GB2312" w:hint="eastAsia"/>
          <w:color w:val="101010"/>
          <w:sz w:val="32"/>
          <w:szCs w:val="32"/>
          <w:shd w:val="clear" w:color="auto" w:fill="FFFFFF"/>
        </w:rPr>
      </w:pPr>
      <w:r w:rsidRPr="00680A94">
        <w:rPr>
          <w:rFonts w:ascii="仿宋_GB2312" w:eastAsia="仿宋_GB2312" w:hAnsi="Calibri" w:cs="仿宋_GB2312" w:hint="eastAsia"/>
          <w:color w:val="101010"/>
          <w:sz w:val="32"/>
          <w:szCs w:val="32"/>
          <w:shd w:val="clear" w:color="auto" w:fill="FFFFFF"/>
        </w:rPr>
        <w:t>电话：022-28776099、28776655</w:t>
      </w:r>
    </w:p>
    <w:p w14:paraId="7226A72C" w14:textId="77777777" w:rsidR="000F6BCB" w:rsidRPr="00680A94" w:rsidRDefault="00000000" w:rsidP="00E76DF1">
      <w:pPr>
        <w:ind w:firstLineChars="200" w:firstLine="640"/>
        <w:rPr>
          <w:rFonts w:ascii="仿宋_GB2312" w:eastAsia="仿宋_GB2312" w:hAnsi="Calibri" w:cs="仿宋_GB2312" w:hint="eastAsia"/>
          <w:color w:val="101010"/>
          <w:sz w:val="32"/>
          <w:szCs w:val="32"/>
          <w:shd w:val="clear" w:color="auto" w:fill="FFFFFF"/>
        </w:rPr>
      </w:pPr>
      <w:r w:rsidRPr="00680A94">
        <w:rPr>
          <w:rFonts w:ascii="仿宋_GB2312" w:eastAsia="仿宋_GB2312" w:hAnsi="Calibri" w:cs="仿宋_GB2312" w:hint="eastAsia"/>
          <w:color w:val="101010"/>
          <w:sz w:val="32"/>
          <w:szCs w:val="32"/>
          <w:shd w:val="clear" w:color="auto" w:fill="FFFFFF"/>
        </w:rPr>
        <w:t>传真：022-28776106</w:t>
      </w:r>
    </w:p>
    <w:p w14:paraId="7901AA2D" w14:textId="77777777" w:rsidR="000F6BCB" w:rsidRPr="00680A94" w:rsidRDefault="00000000" w:rsidP="00E76DF1">
      <w:pPr>
        <w:ind w:firstLineChars="200" w:firstLine="640"/>
        <w:rPr>
          <w:rFonts w:ascii="仿宋_GB2312" w:eastAsia="仿宋_GB2312" w:hAnsi="Calibri" w:cs="仿宋_GB2312" w:hint="eastAsia"/>
          <w:color w:val="101010"/>
          <w:sz w:val="32"/>
          <w:szCs w:val="32"/>
          <w:shd w:val="clear" w:color="auto" w:fill="FFFFFF"/>
        </w:rPr>
      </w:pPr>
      <w:r w:rsidRPr="00680A94">
        <w:rPr>
          <w:rFonts w:ascii="仿宋_GB2312" w:eastAsia="仿宋_GB2312" w:hAnsi="Calibri" w:cs="仿宋_GB2312" w:hint="eastAsia"/>
          <w:color w:val="101010"/>
          <w:sz w:val="32"/>
          <w:szCs w:val="32"/>
          <w:shd w:val="clear" w:color="auto" w:fill="FFFFFF"/>
        </w:rPr>
        <w:t>监督电话：022-28771113</w:t>
      </w:r>
    </w:p>
    <w:p w14:paraId="3042A1AA" w14:textId="77777777" w:rsidR="000F6BCB" w:rsidRPr="00680A94" w:rsidRDefault="00000000" w:rsidP="00E76DF1">
      <w:pPr>
        <w:ind w:firstLineChars="200" w:firstLine="640"/>
        <w:rPr>
          <w:rFonts w:ascii="仿宋_GB2312" w:eastAsia="仿宋_GB2312" w:hAnsi="Calibri" w:cs="仿宋_GB2312" w:hint="eastAsia"/>
          <w:color w:val="101010"/>
          <w:sz w:val="32"/>
          <w:szCs w:val="32"/>
          <w:shd w:val="clear" w:color="auto" w:fill="FFFFFF"/>
        </w:rPr>
      </w:pPr>
      <w:r w:rsidRPr="00680A94">
        <w:rPr>
          <w:rFonts w:ascii="仿宋_GB2312" w:eastAsia="仿宋_GB2312" w:hAnsi="Calibri" w:cs="仿宋_GB2312" w:hint="eastAsia"/>
          <w:color w:val="101010"/>
          <w:sz w:val="32"/>
          <w:szCs w:val="32"/>
          <w:shd w:val="clear" w:color="auto" w:fill="FFFFFF"/>
        </w:rPr>
        <w:t>监督邮箱：jwbgs@tsguas.edu.cn</w:t>
      </w:r>
    </w:p>
    <w:p w14:paraId="244AD056" w14:textId="77777777" w:rsidR="000F6BCB" w:rsidRDefault="00000000" w:rsidP="00E76DF1">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仿宋_GB2312" w:eastAsia="仿宋_GB2312" w:hAnsi="Calibri" w:cs="仿宋_GB2312" w:hint="eastAsia"/>
          <w:color w:val="101010"/>
          <w:kern w:val="2"/>
          <w:sz w:val="32"/>
          <w:szCs w:val="32"/>
          <w:shd w:val="clear" w:color="auto" w:fill="FFFFFF"/>
        </w:rPr>
        <w:t>地址: 天津海河教育</w:t>
      </w:r>
      <w:proofErr w:type="gramStart"/>
      <w:r>
        <w:rPr>
          <w:rFonts w:ascii="仿宋_GB2312" w:eastAsia="仿宋_GB2312" w:hAnsi="Calibri" w:cs="仿宋_GB2312" w:hint="eastAsia"/>
          <w:color w:val="101010"/>
          <w:kern w:val="2"/>
          <w:sz w:val="32"/>
          <w:szCs w:val="32"/>
          <w:shd w:val="clear" w:color="auto" w:fill="FFFFFF"/>
        </w:rPr>
        <w:t>园区雅深路</w:t>
      </w:r>
      <w:proofErr w:type="gramEnd"/>
      <w:r>
        <w:rPr>
          <w:rFonts w:ascii="仿宋_GB2312" w:eastAsia="仿宋_GB2312" w:hAnsi="Calibri" w:cs="仿宋_GB2312" w:hint="eastAsia"/>
          <w:color w:val="101010"/>
          <w:kern w:val="2"/>
          <w:sz w:val="32"/>
          <w:szCs w:val="32"/>
          <w:shd w:val="clear" w:color="auto" w:fill="FFFFFF"/>
        </w:rPr>
        <w:t>2号</w:t>
      </w:r>
    </w:p>
    <w:p w14:paraId="09C8EFF0" w14:textId="77777777" w:rsidR="000F6BCB" w:rsidRPr="00680A94" w:rsidRDefault="00000000" w:rsidP="00E76DF1">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仿宋_GB2312" w:eastAsia="仿宋_GB2312" w:hAnsi="Calibri" w:cs="仿宋_GB2312" w:hint="eastAsia"/>
          <w:color w:val="101010"/>
          <w:kern w:val="2"/>
          <w:sz w:val="32"/>
          <w:szCs w:val="32"/>
          <w:shd w:val="clear" w:color="auto" w:fill="FFFFFF"/>
        </w:rPr>
        <w:t>邮编</w:t>
      </w:r>
      <w:r w:rsidRPr="00680A94">
        <w:rPr>
          <w:rFonts w:ascii="仿宋_GB2312" w:eastAsia="仿宋_GB2312" w:hAnsi="Calibri" w:cs="仿宋_GB2312" w:hint="eastAsia"/>
          <w:color w:val="101010"/>
          <w:kern w:val="2"/>
          <w:sz w:val="32"/>
          <w:szCs w:val="32"/>
          <w:shd w:val="clear" w:color="auto" w:fill="FFFFFF"/>
        </w:rPr>
        <w:t xml:space="preserve">: 300350 </w:t>
      </w:r>
    </w:p>
    <w:sectPr w:rsidR="000F6BCB" w:rsidRPr="00680A94">
      <w:pgSz w:w="11906" w:h="16838"/>
      <w:pgMar w:top="1417" w:right="1474" w:bottom="113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C7AC" w14:textId="77777777" w:rsidR="00C20924" w:rsidRDefault="00C20924" w:rsidP="00E76DF1">
      <w:r>
        <w:separator/>
      </w:r>
    </w:p>
  </w:endnote>
  <w:endnote w:type="continuationSeparator" w:id="0">
    <w:p w14:paraId="088E587B" w14:textId="77777777" w:rsidR="00C20924" w:rsidRDefault="00C20924" w:rsidP="00E7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A444C" w14:textId="77777777" w:rsidR="00C20924" w:rsidRDefault="00C20924" w:rsidP="00E76DF1">
      <w:r>
        <w:separator/>
      </w:r>
    </w:p>
  </w:footnote>
  <w:footnote w:type="continuationSeparator" w:id="0">
    <w:p w14:paraId="16FBF3A7" w14:textId="77777777" w:rsidR="00C20924" w:rsidRDefault="00C20924" w:rsidP="00E76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E0ZDkyYjliNGU4MTJlOWM0ODkxMWNiYWVlZTg3ZTYifQ=="/>
  </w:docVars>
  <w:rsids>
    <w:rsidRoot w:val="634B06D6"/>
    <w:rsid w:val="000F6BCB"/>
    <w:rsid w:val="002C63DD"/>
    <w:rsid w:val="0032267C"/>
    <w:rsid w:val="003726D4"/>
    <w:rsid w:val="00680A94"/>
    <w:rsid w:val="00900CDA"/>
    <w:rsid w:val="00A76770"/>
    <w:rsid w:val="00BC4CD7"/>
    <w:rsid w:val="00C20924"/>
    <w:rsid w:val="00DA48F0"/>
    <w:rsid w:val="00E76DF1"/>
    <w:rsid w:val="00E776C2"/>
    <w:rsid w:val="00F27CC0"/>
    <w:rsid w:val="00F40762"/>
    <w:rsid w:val="00F4535E"/>
    <w:rsid w:val="02C12A7C"/>
    <w:rsid w:val="04355850"/>
    <w:rsid w:val="0E411074"/>
    <w:rsid w:val="0FCC48A4"/>
    <w:rsid w:val="14557FB7"/>
    <w:rsid w:val="175350C8"/>
    <w:rsid w:val="1B98397D"/>
    <w:rsid w:val="1ED17F14"/>
    <w:rsid w:val="20A60AC2"/>
    <w:rsid w:val="23542443"/>
    <w:rsid w:val="242D3949"/>
    <w:rsid w:val="27E57EFC"/>
    <w:rsid w:val="289129D5"/>
    <w:rsid w:val="2924431A"/>
    <w:rsid w:val="2BE84271"/>
    <w:rsid w:val="2E6A7D67"/>
    <w:rsid w:val="32103CA5"/>
    <w:rsid w:val="321C59CB"/>
    <w:rsid w:val="330446B7"/>
    <w:rsid w:val="383D540D"/>
    <w:rsid w:val="3948033C"/>
    <w:rsid w:val="3A817B62"/>
    <w:rsid w:val="3DA058B0"/>
    <w:rsid w:val="3F697263"/>
    <w:rsid w:val="417F54FC"/>
    <w:rsid w:val="42FC3729"/>
    <w:rsid w:val="45182550"/>
    <w:rsid w:val="45967122"/>
    <w:rsid w:val="49E93CEA"/>
    <w:rsid w:val="4AAC379F"/>
    <w:rsid w:val="4B36755A"/>
    <w:rsid w:val="4B9A770E"/>
    <w:rsid w:val="4C0F2F95"/>
    <w:rsid w:val="4E1424E8"/>
    <w:rsid w:val="4E5A4D57"/>
    <w:rsid w:val="502C44FB"/>
    <w:rsid w:val="5BB41020"/>
    <w:rsid w:val="634B06D6"/>
    <w:rsid w:val="6632437E"/>
    <w:rsid w:val="693A5662"/>
    <w:rsid w:val="6DA62760"/>
    <w:rsid w:val="6ED41966"/>
    <w:rsid w:val="71C15DD9"/>
    <w:rsid w:val="763D4518"/>
    <w:rsid w:val="7A373AD9"/>
    <w:rsid w:val="7C5C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D82E"/>
  <w15:docId w15:val="{F9937BC6-1150-47F5-B48F-973D93A1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FollowedHyperlink"/>
    <w:basedOn w:val="a0"/>
    <w:qFormat/>
    <w:rPr>
      <w:color w:val="333333"/>
      <w:u w:val="none"/>
    </w:rPr>
  </w:style>
  <w:style w:type="character" w:styleId="aa">
    <w:name w:val="Hyperlink"/>
    <w:basedOn w:val="a0"/>
    <w:qFormat/>
    <w:rPr>
      <w:color w:val="0000FF"/>
      <w:u w:val="single"/>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customStyle="1" w:styleId="Style8">
    <w:name w:val="_Style 8"/>
    <w:basedOn w:val="a"/>
    <w:next w:val="a"/>
    <w:qFormat/>
    <w:pPr>
      <w:pBdr>
        <w:top w:val="single" w:sz="6" w:space="1" w:color="auto"/>
      </w:pBdr>
      <w:jc w:val="center"/>
    </w:pPr>
    <w:rPr>
      <w:rFonts w:ascii="Arial" w:eastAsia="宋体"/>
      <w:vanish/>
      <w:sz w:val="16"/>
    </w:rPr>
  </w:style>
  <w:style w:type="character" w:customStyle="1" w:styleId="a5">
    <w:name w:val="页眉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529</Words>
  <Characters>3021</Characters>
  <Application>Microsoft Office Word</Application>
  <DocSecurity>0</DocSecurity>
  <Lines>25</Lines>
  <Paragraphs>7</Paragraphs>
  <ScaleCrop>false</ScaleCrop>
  <Company>Lenovo</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薛维忠</dc:creator>
  <cp:lastModifiedBy>杨新秀</cp:lastModifiedBy>
  <cp:revision>6</cp:revision>
  <dcterms:created xsi:type="dcterms:W3CDTF">2020-10-08T07:24:00Z</dcterms:created>
  <dcterms:modified xsi:type="dcterms:W3CDTF">2024-11-26T02:05:00Z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2845944EF6DA4FBB82F078B21BDF671A_13</vt:lpwstr>
  </property>
</Properties>
</file>