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560" w:lineRule="exact"/>
        <w:jc w:val="center"/>
        <w:rPr>
          <w:rFonts w:hint="eastAsia" w:ascii="方正小标宋简体" w:hAnsi="方正小标宋简体" w:eastAsia="方正小标宋简体" w:cs="方正小标宋简体"/>
          <w:b w:val="0"/>
          <w:bCs/>
          <w:sz w:val="36"/>
          <w:szCs w:val="36"/>
        </w:rPr>
      </w:pPr>
      <w:r>
        <w:rPr>
          <w:rFonts w:hint="eastAsia"/>
          <w:sz w:val="28"/>
          <w:szCs w:val="28"/>
        </w:rPr>
        <w:t xml:space="preserve">                                                                                                                                                                                                                                                                                                                                                                                                                                                                                                                                                                                                                                                                                                                                                                                                                                                                                                                                                                                                                                                                                                                                                                                                                 </w:t>
      </w:r>
      <w:r>
        <w:rPr>
          <w:rFonts w:hint="eastAsia" w:ascii="方正小标宋简体" w:hAnsi="方正小标宋简体" w:eastAsia="方正小标宋简体" w:cs="方正小标宋简体"/>
          <w:b w:val="0"/>
          <w:bCs/>
          <w:color w:val="auto"/>
          <w:sz w:val="44"/>
          <w:szCs w:val="44"/>
          <w:lang w:val="en" w:eastAsia="zh-CN"/>
        </w:rPr>
        <w:t>天津石油职业技术</w:t>
      </w:r>
      <w:r>
        <w:rPr>
          <w:rFonts w:hint="eastAsia" w:ascii="方正小标宋简体" w:hAnsi="方正小标宋简体" w:eastAsia="方正小标宋简体" w:cs="方正小标宋简体"/>
          <w:b w:val="0"/>
          <w:bCs/>
          <w:color w:val="auto"/>
          <w:sz w:val="44"/>
          <w:szCs w:val="44"/>
          <w:lang w:val="en"/>
        </w:rPr>
        <w:t>学院20</w:t>
      </w:r>
      <w:r>
        <w:rPr>
          <w:rFonts w:hint="eastAsia" w:ascii="方正小标宋简体" w:hAnsi="方正小标宋简体" w:eastAsia="方正小标宋简体" w:cs="方正小标宋简体"/>
          <w:b w:val="0"/>
          <w:bCs/>
          <w:color w:val="auto"/>
          <w:sz w:val="44"/>
          <w:szCs w:val="44"/>
          <w:lang w:val="en-US" w:eastAsia="zh-CN"/>
        </w:rPr>
        <w:t>24</w:t>
      </w:r>
      <w:r>
        <w:rPr>
          <w:rFonts w:hint="eastAsia" w:ascii="方正小标宋简体" w:hAnsi="方正小标宋简体" w:eastAsia="方正小标宋简体" w:cs="方正小标宋简体"/>
          <w:b w:val="0"/>
          <w:bCs/>
          <w:color w:val="auto"/>
          <w:sz w:val="44"/>
          <w:szCs w:val="44"/>
          <w:lang w:val="en"/>
        </w:rPr>
        <w:t>年天津市高职分类考试招收中职毕业生招生章程</w:t>
      </w:r>
    </w:p>
    <w:p>
      <w:pPr>
        <w:keepNext w:val="0"/>
        <w:keepLines w:val="0"/>
        <w:pageBreakBefore w:val="0"/>
        <w:kinsoku/>
        <w:wordWrap/>
        <w:overflowPunct/>
        <w:topLinePunct w:val="0"/>
        <w:autoSpaceDN/>
        <w:bidi w:val="0"/>
        <w:adjustRightInd/>
        <w:snapToGrid/>
        <w:spacing w:line="520" w:lineRule="exact"/>
        <w:jc w:val="center"/>
        <w:rPr>
          <w:rFonts w:hint="eastAsia" w:ascii="黑体" w:hAnsi="黑体" w:eastAsia="黑体"/>
          <w:bCs/>
          <w:color w:val="auto"/>
          <w:sz w:val="28"/>
          <w:szCs w:val="28"/>
        </w:rPr>
      </w:pPr>
    </w:p>
    <w:p>
      <w:pPr>
        <w:keepNext w:val="0"/>
        <w:keepLines w:val="0"/>
        <w:pageBreakBefore w:val="0"/>
        <w:kinsoku/>
        <w:wordWrap/>
        <w:overflowPunct/>
        <w:topLinePunct w:val="0"/>
        <w:autoSpaceDN/>
        <w:bidi w:val="0"/>
        <w:adjustRightInd/>
        <w:snapToGrid/>
        <w:spacing w:line="520" w:lineRule="exact"/>
        <w:jc w:val="center"/>
        <w:rPr>
          <w:rFonts w:hint="eastAsia" w:ascii="黑体" w:hAnsi="黑体" w:eastAsia="黑体"/>
          <w:bCs/>
          <w:color w:val="auto"/>
          <w:sz w:val="28"/>
          <w:szCs w:val="28"/>
        </w:rPr>
      </w:pPr>
      <w:r>
        <w:rPr>
          <w:rFonts w:hint="eastAsia" w:ascii="黑体" w:hAnsi="黑体" w:eastAsia="黑体"/>
          <w:bCs/>
          <w:color w:val="auto"/>
          <w:sz w:val="28"/>
          <w:szCs w:val="28"/>
        </w:rPr>
        <w:t>第一章  总则</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第一条</w:t>
      </w:r>
      <w:r>
        <w:rPr>
          <w:rFonts w:hint="eastAsia" w:ascii="仿宋" w:hAnsi="仿宋" w:eastAsia="仿宋" w:cs="Arial"/>
          <w:color w:val="auto"/>
          <w:kern w:val="0"/>
          <w:sz w:val="28"/>
          <w:szCs w:val="28"/>
          <w:lang w:val="en" w:eastAsia="zh-CN" w:bidi="ar-SA"/>
        </w:rPr>
        <w:t>：根据《中华人民共和国教育法》、《中华人民共和国高等教育法》等相关法律法规的有关规定，为了维护学院和考生的合法权益，依法招生，结合我院招生工作实际，制定本章程。</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第二条</w:t>
      </w:r>
      <w:r>
        <w:rPr>
          <w:rFonts w:hint="eastAsia" w:ascii="仿宋" w:hAnsi="仿宋" w:eastAsia="仿宋" w:cs="Arial"/>
          <w:color w:val="auto"/>
          <w:kern w:val="0"/>
          <w:sz w:val="28"/>
          <w:szCs w:val="28"/>
          <w:lang w:val="en" w:eastAsia="zh-CN" w:bidi="ar-SA"/>
        </w:rPr>
        <w:t>：本章程是社会了解我院有关招生政策、规定及相关信息的主要渠道，是我院开展招生咨询和录取工作的主要依据。</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第三条</w:t>
      </w:r>
      <w:r>
        <w:rPr>
          <w:rFonts w:hint="eastAsia" w:ascii="仿宋" w:hAnsi="仿宋" w:eastAsia="仿宋" w:cs="Arial"/>
          <w:color w:val="auto"/>
          <w:kern w:val="0"/>
          <w:sz w:val="28"/>
          <w:szCs w:val="28"/>
          <w:lang w:val="en" w:eastAsia="zh-CN" w:bidi="ar-SA"/>
        </w:rPr>
        <w:t>：学校概况</w:t>
      </w:r>
    </w:p>
    <w:p>
      <w:pPr>
        <w:spacing w:line="360" w:lineRule="auto"/>
        <w:ind w:firstLine="560" w:firstLineChars="200"/>
        <w:rPr>
          <w:rFonts w:hint="eastAsia" w:ascii="仿宋" w:hAnsi="仿宋" w:eastAsia="仿宋" w:cs="Arial"/>
          <w:color w:val="auto"/>
          <w:kern w:val="0"/>
          <w:sz w:val="28"/>
          <w:szCs w:val="28"/>
          <w:lang w:val="en" w:eastAsia="zh-CN" w:bidi="ar-SA"/>
        </w:rPr>
      </w:pPr>
      <w:r>
        <w:rPr>
          <w:rFonts w:hint="eastAsia" w:ascii="仿宋" w:hAnsi="仿宋" w:eastAsia="仿宋" w:cs="Arial"/>
          <w:color w:val="auto"/>
          <w:kern w:val="0"/>
          <w:sz w:val="28"/>
          <w:szCs w:val="28"/>
          <w:lang w:val="en" w:eastAsia="zh-CN" w:bidi="ar-SA"/>
        </w:rPr>
        <w:t>一、学校名称：天津石油职业技术学院</w:t>
      </w:r>
    </w:p>
    <w:p>
      <w:pPr>
        <w:spacing w:line="360" w:lineRule="auto"/>
        <w:ind w:firstLine="560" w:firstLineChars="200"/>
        <w:rPr>
          <w:rFonts w:hint="eastAsia" w:ascii="仿宋" w:hAnsi="仿宋" w:eastAsia="仿宋" w:cs="Arial"/>
          <w:color w:val="auto"/>
          <w:kern w:val="0"/>
          <w:sz w:val="28"/>
          <w:szCs w:val="28"/>
          <w:lang w:val="en" w:eastAsia="zh-CN" w:bidi="ar-SA"/>
        </w:rPr>
      </w:pPr>
      <w:r>
        <w:rPr>
          <w:rFonts w:hint="eastAsia" w:ascii="仿宋" w:hAnsi="仿宋" w:eastAsia="仿宋" w:cs="Arial"/>
          <w:color w:val="auto"/>
          <w:kern w:val="0"/>
          <w:sz w:val="28"/>
          <w:szCs w:val="28"/>
          <w:lang w:val="en" w:eastAsia="zh-CN" w:bidi="ar-SA"/>
        </w:rPr>
        <w:t>二、办学类型：公办全日制高等职业技术学院</w:t>
      </w:r>
    </w:p>
    <w:p>
      <w:pPr>
        <w:spacing w:line="360" w:lineRule="auto"/>
        <w:ind w:firstLine="560" w:firstLineChars="200"/>
        <w:rPr>
          <w:rFonts w:hint="eastAsia" w:ascii="仿宋" w:hAnsi="仿宋" w:eastAsia="仿宋" w:cs="Arial"/>
          <w:color w:val="auto"/>
          <w:kern w:val="0"/>
          <w:sz w:val="28"/>
          <w:szCs w:val="28"/>
          <w:lang w:val="en" w:eastAsia="zh-CN" w:bidi="ar-SA"/>
        </w:rPr>
      </w:pPr>
      <w:r>
        <w:rPr>
          <w:rFonts w:hint="eastAsia" w:ascii="仿宋" w:hAnsi="仿宋" w:eastAsia="仿宋" w:cs="Arial"/>
          <w:color w:val="auto"/>
          <w:kern w:val="0"/>
          <w:sz w:val="28"/>
          <w:szCs w:val="28"/>
          <w:lang w:val="en" w:eastAsia="zh-CN" w:bidi="ar-SA"/>
        </w:rPr>
        <w:t>三、办学层次：高职</w:t>
      </w:r>
    </w:p>
    <w:p>
      <w:pPr>
        <w:spacing w:line="360" w:lineRule="auto"/>
        <w:ind w:firstLine="560" w:firstLineChars="200"/>
        <w:rPr>
          <w:rFonts w:hint="eastAsia" w:ascii="仿宋" w:hAnsi="仿宋" w:eastAsia="仿宋" w:cs="Arial"/>
          <w:color w:val="auto"/>
          <w:kern w:val="0"/>
          <w:sz w:val="28"/>
          <w:szCs w:val="28"/>
          <w:lang w:val="en" w:eastAsia="zh-CN" w:bidi="ar-SA"/>
        </w:rPr>
      </w:pPr>
      <w:r>
        <w:rPr>
          <w:rFonts w:hint="eastAsia" w:ascii="仿宋" w:hAnsi="仿宋" w:eastAsia="仿宋" w:cs="Arial"/>
          <w:color w:val="auto"/>
          <w:kern w:val="0"/>
          <w:sz w:val="28"/>
          <w:szCs w:val="28"/>
          <w:lang w:val="en" w:eastAsia="zh-CN" w:bidi="ar-SA"/>
        </w:rPr>
        <w:t>四、学校代码：13701（国标）</w:t>
      </w:r>
    </w:p>
    <w:p>
      <w:pPr>
        <w:spacing w:line="360" w:lineRule="auto"/>
        <w:ind w:firstLine="560" w:firstLineChars="200"/>
        <w:rPr>
          <w:rFonts w:hint="eastAsia" w:ascii="仿宋" w:hAnsi="仿宋" w:eastAsia="仿宋" w:cs="Arial"/>
          <w:color w:val="auto"/>
          <w:kern w:val="0"/>
          <w:sz w:val="28"/>
          <w:szCs w:val="28"/>
          <w:lang w:val="en" w:eastAsia="zh-CN" w:bidi="ar-SA"/>
        </w:rPr>
      </w:pPr>
      <w:r>
        <w:rPr>
          <w:rFonts w:hint="eastAsia" w:ascii="仿宋" w:hAnsi="仿宋" w:eastAsia="仿宋" w:cs="Arial"/>
          <w:color w:val="auto"/>
          <w:kern w:val="0"/>
          <w:sz w:val="28"/>
          <w:szCs w:val="28"/>
          <w:lang w:val="en" w:eastAsia="zh-CN" w:bidi="ar-SA"/>
        </w:rPr>
        <w:t>五、学校地址：</w:t>
      </w:r>
    </w:p>
    <w:p>
      <w:pPr>
        <w:spacing w:line="360" w:lineRule="auto"/>
        <w:ind w:firstLine="560" w:firstLineChars="200"/>
        <w:rPr>
          <w:rFonts w:hint="eastAsia" w:ascii="仿宋" w:hAnsi="仿宋" w:eastAsia="仿宋" w:cs="Arial"/>
          <w:color w:val="auto"/>
          <w:kern w:val="0"/>
          <w:sz w:val="28"/>
          <w:szCs w:val="28"/>
          <w:lang w:val="en" w:eastAsia="zh-CN" w:bidi="ar-SA"/>
        </w:rPr>
      </w:pPr>
      <w:r>
        <w:rPr>
          <w:rFonts w:hint="eastAsia" w:ascii="仿宋" w:hAnsi="仿宋" w:eastAsia="仿宋" w:cs="Arial"/>
          <w:color w:val="auto"/>
          <w:kern w:val="0"/>
          <w:sz w:val="28"/>
          <w:szCs w:val="28"/>
          <w:lang w:val="en" w:eastAsia="zh-CN" w:bidi="ar-SA"/>
        </w:rPr>
        <w:t>主校区：天津市团泊洼</w:t>
      </w:r>
    </w:p>
    <w:p>
      <w:pPr>
        <w:spacing w:line="360" w:lineRule="auto"/>
        <w:ind w:firstLine="560" w:firstLineChars="200"/>
        <w:rPr>
          <w:rFonts w:hint="eastAsia" w:ascii="仿宋" w:hAnsi="仿宋" w:eastAsia="仿宋" w:cs="Arial"/>
          <w:color w:val="auto"/>
          <w:kern w:val="0"/>
          <w:sz w:val="28"/>
          <w:szCs w:val="28"/>
          <w:lang w:val="en" w:eastAsia="zh-CN" w:bidi="ar-SA"/>
        </w:rPr>
      </w:pPr>
      <w:r>
        <w:rPr>
          <w:rFonts w:hint="eastAsia" w:ascii="仿宋" w:hAnsi="仿宋" w:eastAsia="仿宋" w:cs="Arial"/>
          <w:color w:val="auto"/>
          <w:kern w:val="0"/>
          <w:sz w:val="28"/>
          <w:szCs w:val="28"/>
          <w:lang w:val="en" w:eastAsia="zh-CN" w:bidi="ar-SA"/>
        </w:rPr>
        <w:t>分校区：天津市滨海新区大港油田幸福路51号</w:t>
      </w:r>
    </w:p>
    <w:p>
      <w:pPr>
        <w:spacing w:line="360" w:lineRule="auto"/>
        <w:ind w:firstLine="560" w:firstLineChars="200"/>
        <w:rPr>
          <w:rFonts w:hint="eastAsia" w:ascii="仿宋" w:hAnsi="仿宋" w:eastAsia="仿宋" w:cs="Arial"/>
          <w:color w:val="auto"/>
          <w:kern w:val="0"/>
          <w:sz w:val="28"/>
          <w:szCs w:val="28"/>
          <w:lang w:val="en" w:eastAsia="zh-CN" w:bidi="ar-SA"/>
        </w:rPr>
      </w:pPr>
      <w:r>
        <w:rPr>
          <w:rFonts w:hint="eastAsia" w:ascii="仿宋" w:hAnsi="仿宋" w:eastAsia="仿宋" w:cs="Arial"/>
          <w:color w:val="auto"/>
          <w:kern w:val="0"/>
          <w:sz w:val="28"/>
          <w:szCs w:val="28"/>
          <w:lang w:val="en" w:eastAsia="zh-CN" w:bidi="ar-SA"/>
        </w:rPr>
        <w:t>六、学校基本概况：学院隶属于中国石油天然气集团公司和天津市教委，是获得国家和天津市财政支持、教育部备案、天津市政府批准的全日制公办高职院校，是天津市国内一流高职院校、天津市示范性高职院校、“双高计划”建设院校，也是当前中国石油天然气集团公司下辖两所具有学历教育办学资质的高校之一。</w:t>
      </w:r>
    </w:p>
    <w:p>
      <w:pPr>
        <w:spacing w:line="360" w:lineRule="auto"/>
        <w:ind w:firstLine="560" w:firstLineChars="200"/>
        <w:rPr>
          <w:rFonts w:hint="eastAsia" w:ascii="仿宋" w:hAnsi="仿宋" w:eastAsia="仿宋" w:cs="Arial"/>
          <w:color w:val="auto"/>
          <w:kern w:val="0"/>
          <w:sz w:val="28"/>
          <w:szCs w:val="28"/>
          <w:lang w:val="en" w:eastAsia="zh-CN" w:bidi="ar-SA"/>
        </w:rPr>
      </w:pPr>
      <w:r>
        <w:rPr>
          <w:rFonts w:hint="eastAsia" w:ascii="仿宋" w:hAnsi="仿宋" w:eastAsia="仿宋" w:cs="Arial"/>
          <w:color w:val="auto"/>
          <w:kern w:val="0"/>
          <w:sz w:val="28"/>
          <w:szCs w:val="28"/>
          <w:lang w:val="en" w:eastAsia="zh-CN" w:bidi="ar-SA"/>
        </w:rPr>
        <w:t>学院目前为“一校两区”办学格局，主校区和大港油田校区。学院坚持社会主义办学方向，将立德树人作为根本任务；坚持“以大庆精神办学，以铁人精神育人”理念；学院坚持“立足油田，面向社会，贴近经济，服务企业”的办学定位。多年来，学院持续推进教育教学改革，国际交流与对外合作办学逐步深入，专业建设水平显著提升，石油类专业“工学交替、分段递升”人才培养模式曾在全国职业教育工作会议上进行经验交流。学院师资力量雄厚，教师队伍结构合理，办学特色鲜明，校企合作成效凸显，现拥有长期稳定的专业校外实习基地52个，建有石油工程、数控技术、汽车制造与试验技术、智能焊接技术等国家级校内实训基地4个。学院被天津市政府命名为“天津市高技能人才培养基地”，建有天津市国家职业技能鉴定所第62所，国家特有工种职业鉴定站第72站，被中石油命名为“集团公司及企业直属培训基地”。学院在校生规模10000余人，学院培养的4</w:t>
      </w:r>
      <w:r>
        <w:rPr>
          <w:rFonts w:hint="eastAsia" w:ascii="仿宋" w:hAnsi="仿宋" w:eastAsia="仿宋" w:cs="Arial"/>
          <w:color w:val="auto"/>
          <w:kern w:val="0"/>
          <w:sz w:val="28"/>
          <w:szCs w:val="28"/>
          <w:lang w:val="en-US" w:eastAsia="zh-CN" w:bidi="ar-SA"/>
        </w:rPr>
        <w:t>500</w:t>
      </w:r>
      <w:r>
        <w:rPr>
          <w:rFonts w:hint="eastAsia" w:ascii="仿宋" w:hAnsi="仿宋" w:eastAsia="仿宋" w:cs="Arial"/>
          <w:color w:val="auto"/>
          <w:kern w:val="0"/>
          <w:sz w:val="28"/>
          <w:szCs w:val="28"/>
          <w:lang w:val="en" w:eastAsia="zh-CN" w:bidi="ar-SA"/>
        </w:rPr>
        <w:t>0多名合格毕业生绝大多数已经成为各单位的骨干力量，很多人已走上各级领导岗位。</w:t>
      </w:r>
    </w:p>
    <w:p>
      <w:pPr>
        <w:spacing w:line="360" w:lineRule="auto"/>
        <w:rPr>
          <w:rFonts w:hint="eastAsia" w:ascii="仿宋" w:hAnsi="仿宋" w:eastAsia="仿宋" w:cs="Arial"/>
          <w:color w:val="auto"/>
          <w:kern w:val="0"/>
          <w:sz w:val="28"/>
          <w:szCs w:val="28"/>
          <w:lang w:val="en" w:eastAsia="zh-CN" w:bidi="ar-SA"/>
        </w:rPr>
      </w:pPr>
      <w:r>
        <w:rPr>
          <w:rFonts w:hint="eastAsia" w:ascii="仿宋" w:hAnsi="仿宋" w:eastAsia="仿宋" w:cs="Arial"/>
          <w:color w:val="auto"/>
          <w:kern w:val="0"/>
          <w:sz w:val="28"/>
          <w:szCs w:val="28"/>
          <w:lang w:val="en" w:eastAsia="zh-CN" w:bidi="ar-SA"/>
        </w:rPr>
        <w:t xml:space="preserve">  </w:t>
      </w:r>
    </w:p>
    <w:p>
      <w:pPr>
        <w:spacing w:line="360" w:lineRule="auto"/>
        <w:jc w:val="center"/>
        <w:rPr>
          <w:rFonts w:hint="eastAsia" w:ascii="仿宋" w:hAnsi="仿宋" w:eastAsia="仿宋" w:cs="Arial"/>
          <w:b/>
          <w:bCs/>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第二章  招生机构</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第四条</w:t>
      </w:r>
      <w:r>
        <w:rPr>
          <w:rFonts w:hint="eastAsia" w:ascii="仿宋" w:hAnsi="仿宋" w:eastAsia="仿宋" w:cs="Arial"/>
          <w:color w:val="auto"/>
          <w:kern w:val="0"/>
          <w:sz w:val="28"/>
          <w:szCs w:val="28"/>
          <w:lang w:val="en" w:eastAsia="zh-CN" w:bidi="ar-SA"/>
        </w:rPr>
        <w:t>：我院设招生工作委员会，全面负责学院招生工作，制定招生政策、招生计划，决定有关招生的重大事宜。</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第五条</w:t>
      </w:r>
      <w:r>
        <w:rPr>
          <w:rFonts w:hint="eastAsia" w:ascii="仿宋" w:hAnsi="仿宋" w:eastAsia="仿宋" w:cs="Arial"/>
          <w:color w:val="auto"/>
          <w:kern w:val="0"/>
          <w:sz w:val="28"/>
          <w:szCs w:val="28"/>
          <w:lang w:val="en" w:eastAsia="zh-CN" w:bidi="ar-SA"/>
        </w:rPr>
        <w:t>：我院设招生就业处，是组织和实施招生工作的常设机构，负责招生的日常工作。</w:t>
      </w:r>
    </w:p>
    <w:p>
      <w:pPr>
        <w:spacing w:line="360" w:lineRule="auto"/>
        <w:ind w:firstLine="560" w:firstLineChars="200"/>
        <w:rPr>
          <w:rFonts w:hint="eastAsia" w:ascii="仿宋" w:hAnsi="仿宋" w:eastAsia="仿宋" w:cs="Arial"/>
          <w:color w:val="auto"/>
          <w:kern w:val="0"/>
          <w:sz w:val="28"/>
          <w:szCs w:val="28"/>
          <w:lang w:val="en" w:eastAsia="zh-CN" w:bidi="ar-SA"/>
        </w:rPr>
      </w:pPr>
    </w:p>
    <w:p>
      <w:pPr>
        <w:spacing w:line="360" w:lineRule="auto"/>
        <w:jc w:val="center"/>
        <w:rPr>
          <w:rFonts w:hint="eastAsia" w:ascii="仿宋" w:hAnsi="仿宋" w:eastAsia="仿宋" w:cs="Arial"/>
          <w:b/>
          <w:bCs/>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第三章：报考条件及要求</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第六条</w:t>
      </w:r>
      <w:r>
        <w:rPr>
          <w:rFonts w:hint="eastAsia" w:ascii="仿宋" w:hAnsi="仿宋" w:eastAsia="仿宋" w:cs="Arial"/>
          <w:color w:val="auto"/>
          <w:kern w:val="0"/>
          <w:sz w:val="28"/>
          <w:szCs w:val="28"/>
          <w:lang w:val="en" w:eastAsia="zh-CN" w:bidi="ar-SA"/>
        </w:rPr>
        <w:t>：具有本市常住户籍的普通中专、职业高中、技工学校（以下简称“中职学校”）毕业生、普通高中往届毕业生；具有本市中职学校正式学籍的应届毕业生；居住证持有人随迁子女在本市中职学校毕业或具有同等学力。</w:t>
      </w:r>
      <w:bookmarkStart w:id="0" w:name="_GoBack"/>
      <w:bookmarkEnd w:id="0"/>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第七条</w:t>
      </w:r>
      <w:r>
        <w:rPr>
          <w:rFonts w:hint="eastAsia" w:ascii="仿宋" w:hAnsi="仿宋" w:eastAsia="仿宋" w:cs="Arial"/>
          <w:color w:val="auto"/>
          <w:kern w:val="0"/>
          <w:sz w:val="28"/>
          <w:szCs w:val="28"/>
          <w:lang w:val="en" w:eastAsia="zh-CN" w:bidi="ar-SA"/>
        </w:rPr>
        <w:t>：采取网上报名，符合条件的考生须在规定的报名时间内登录招考资讯网（www.zhaokao.net）进入报名系统；缴费后需到区县招办规定的地点进行现场确认，履行春季招收中职毕业生报名手续；有疑问可咨询高考报名所在地的区县招办。</w:t>
      </w:r>
    </w:p>
    <w:p>
      <w:pPr>
        <w:spacing w:line="360" w:lineRule="auto"/>
        <w:ind w:firstLine="560" w:firstLineChars="200"/>
        <w:rPr>
          <w:rFonts w:hint="eastAsia" w:ascii="仿宋" w:hAnsi="仿宋" w:eastAsia="仿宋" w:cs="Arial"/>
          <w:color w:val="auto"/>
          <w:kern w:val="0"/>
          <w:sz w:val="28"/>
          <w:szCs w:val="28"/>
          <w:lang w:val="en" w:eastAsia="zh-CN" w:bidi="ar-SA"/>
        </w:rPr>
      </w:pPr>
    </w:p>
    <w:p>
      <w:pPr>
        <w:spacing w:line="360" w:lineRule="auto"/>
        <w:jc w:val="center"/>
        <w:rPr>
          <w:rFonts w:hint="eastAsia" w:ascii="仿宋" w:hAnsi="仿宋" w:eastAsia="仿宋" w:cs="Arial"/>
          <w:b/>
          <w:bCs/>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第四章  招生计划及收费标准</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第八条</w:t>
      </w:r>
      <w:r>
        <w:rPr>
          <w:rFonts w:hint="eastAsia" w:ascii="仿宋" w:hAnsi="仿宋" w:eastAsia="仿宋" w:cs="Arial"/>
          <w:color w:val="auto"/>
          <w:kern w:val="0"/>
          <w:sz w:val="28"/>
          <w:szCs w:val="28"/>
          <w:lang w:val="en" w:eastAsia="zh-CN" w:bidi="ar-SA"/>
        </w:rPr>
        <w:t>：我院2024年高职分类考试招收中职毕业生招生计划以天津市教委下达的高职分类考试招收中职毕业生招生计划为准。高职分类考试招收中职毕业生分管理服务类和工程技术类两类计划。</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第九条</w:t>
      </w:r>
      <w:r>
        <w:rPr>
          <w:rFonts w:hint="eastAsia" w:ascii="仿宋" w:hAnsi="仿宋" w:eastAsia="仿宋" w:cs="Arial"/>
          <w:color w:val="auto"/>
          <w:kern w:val="0"/>
          <w:sz w:val="28"/>
          <w:szCs w:val="28"/>
          <w:lang w:val="en" w:eastAsia="zh-CN" w:bidi="ar-SA"/>
        </w:rPr>
        <w:t>：学费标准：高职普通类专业5000－5500元/生、年。各专业收费标准详见市教育招生考试院公布的招生计划表或学院下发的2024年新生报到须知。如政府对当年度学费标准进行调整，以政府规定的标准为准。</w:t>
      </w:r>
    </w:p>
    <w:p>
      <w:pPr>
        <w:spacing w:line="360" w:lineRule="auto"/>
        <w:rPr>
          <w:rFonts w:hint="eastAsia" w:ascii="仿宋" w:hAnsi="仿宋" w:eastAsia="仿宋" w:cs="Arial"/>
          <w:color w:val="auto"/>
          <w:kern w:val="0"/>
          <w:sz w:val="28"/>
          <w:szCs w:val="28"/>
          <w:lang w:val="en" w:eastAsia="zh-CN" w:bidi="ar-SA"/>
        </w:rPr>
      </w:pPr>
    </w:p>
    <w:p>
      <w:pPr>
        <w:spacing w:line="360" w:lineRule="auto"/>
        <w:jc w:val="center"/>
        <w:rPr>
          <w:rFonts w:hint="eastAsia" w:ascii="仿宋" w:hAnsi="仿宋" w:eastAsia="仿宋" w:cs="Arial"/>
          <w:b/>
          <w:bCs/>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第五章  录取规则</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第十条</w:t>
      </w:r>
      <w:r>
        <w:rPr>
          <w:rFonts w:hint="eastAsia" w:ascii="仿宋" w:hAnsi="仿宋" w:eastAsia="仿宋" w:cs="Arial"/>
          <w:color w:val="auto"/>
          <w:kern w:val="0"/>
          <w:sz w:val="28"/>
          <w:szCs w:val="28"/>
          <w:lang w:val="en" w:eastAsia="zh-CN" w:bidi="ar-SA"/>
        </w:rPr>
        <w:t>：我院招生录取工作遵循公平竞争、公正选拔、公开程序的原则；执行教育部和市招生委员会制定的录取政策以及本章程公布的有关规定；以考生填报的志愿以及高职分类考试文化基础为主要录取依据，德智体美全面考核，择优录取。录取过程中，自觉接受市招生委员会、纪检监察部门、考生和社会各界的监督。</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第十一条</w:t>
      </w:r>
      <w:r>
        <w:rPr>
          <w:rFonts w:hint="eastAsia" w:ascii="仿宋" w:hAnsi="仿宋" w:eastAsia="仿宋" w:cs="Arial"/>
          <w:color w:val="auto"/>
          <w:kern w:val="0"/>
          <w:sz w:val="28"/>
          <w:szCs w:val="28"/>
          <w:lang w:val="en" w:eastAsia="zh-CN" w:bidi="ar-SA"/>
        </w:rPr>
        <w:t>：院校志愿录取以志愿优先为原则，即按考生填报的院校志愿顺序，从高分到低分录取第一志愿报考我院的考生，只有当公布的同批次最低控制线上第一志愿报考天津石油职业技术学院的人数少于招生计划时，才录取第二志愿报考我院的考生，依次类推。</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第十二条</w:t>
      </w:r>
      <w:r>
        <w:rPr>
          <w:rFonts w:hint="eastAsia" w:ascii="仿宋" w:hAnsi="仿宋" w:eastAsia="仿宋" w:cs="Arial"/>
          <w:color w:val="auto"/>
          <w:kern w:val="0"/>
          <w:sz w:val="28"/>
          <w:szCs w:val="28"/>
          <w:lang w:val="en" w:eastAsia="zh-CN" w:bidi="ar-SA"/>
        </w:rPr>
        <w:t>：专业志愿录取以分数优先为原则，即先按高分到低分排队，依次按照考生填报的专业志愿顺序录取。如考生分数未达到第一专业志愿录取分数，即看是否达到第二专业志愿录取分数，依次类推，直至最后一个专业志愿。在考生所报专业志愿均未被录取情况下，对服从专业调剂者，可调到未录满专业；对不服从调剂者，做退档处理。专业志愿不设分数级差。</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第十三条</w:t>
      </w:r>
      <w:r>
        <w:rPr>
          <w:rFonts w:hint="eastAsia" w:ascii="仿宋" w:hAnsi="仿宋" w:eastAsia="仿宋" w:cs="Arial"/>
          <w:color w:val="auto"/>
          <w:kern w:val="0"/>
          <w:sz w:val="28"/>
          <w:szCs w:val="28"/>
          <w:lang w:val="en" w:eastAsia="zh-CN" w:bidi="ar-SA"/>
        </w:rPr>
        <w:t>：对政策加分考生的录取，按照教育部规定的实行属地化管理的原则，执行天津市招生委员会制定的加分政策和录取规定。</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第十四条</w:t>
      </w:r>
      <w:r>
        <w:rPr>
          <w:rFonts w:hint="eastAsia" w:ascii="仿宋" w:hAnsi="仿宋" w:eastAsia="仿宋" w:cs="Arial"/>
          <w:color w:val="auto"/>
          <w:kern w:val="0"/>
          <w:sz w:val="28"/>
          <w:szCs w:val="28"/>
          <w:lang w:val="en" w:eastAsia="zh-CN" w:bidi="ar-SA"/>
        </w:rPr>
        <w:t>：在同等条件下，优先录取获得市级优秀学生、优秀学生干部、三好学生等荣誉称号以及英语、数学单科分数较高的考生。</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第十五条</w:t>
      </w:r>
      <w:r>
        <w:rPr>
          <w:rFonts w:hint="eastAsia" w:ascii="仿宋" w:hAnsi="仿宋" w:eastAsia="仿宋" w:cs="Arial"/>
          <w:color w:val="auto"/>
          <w:kern w:val="0"/>
          <w:sz w:val="28"/>
          <w:szCs w:val="28"/>
          <w:lang w:val="en" w:eastAsia="zh-CN" w:bidi="ar-SA"/>
        </w:rPr>
        <w:t>：依照教育部、卫生部、中国残疾人联合会颁布的《普通高等学校招生体检工作指导意见》，对考生身体健康状况进行审查和复查。对不符合标准的，按指导意见的相关规定处理。</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第十六条</w:t>
      </w:r>
      <w:r>
        <w:rPr>
          <w:rFonts w:hint="eastAsia" w:ascii="仿宋" w:hAnsi="仿宋" w:eastAsia="仿宋" w:cs="Arial"/>
          <w:color w:val="auto"/>
          <w:kern w:val="0"/>
          <w:sz w:val="28"/>
          <w:szCs w:val="28"/>
          <w:lang w:val="en" w:eastAsia="zh-CN" w:bidi="ar-SA"/>
        </w:rPr>
        <w:t>：各专业公共外语课程均为英语。小语种考生慎重填报。</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第十七条</w:t>
      </w:r>
      <w:r>
        <w:rPr>
          <w:rFonts w:hint="eastAsia" w:ascii="仿宋" w:hAnsi="仿宋" w:eastAsia="仿宋" w:cs="Arial"/>
          <w:color w:val="auto"/>
          <w:kern w:val="0"/>
          <w:sz w:val="28"/>
          <w:szCs w:val="28"/>
          <w:lang w:val="en" w:eastAsia="zh-CN" w:bidi="ar-SA"/>
        </w:rPr>
        <w:t>：本校在接到市招办核准备案的录取考生名单后寄发录取通知书，并通过我校网站向社会公布录取结果，录取通知书将以特快专递的方式寄出。</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第十八条</w:t>
      </w:r>
      <w:r>
        <w:rPr>
          <w:rFonts w:hint="eastAsia" w:ascii="仿宋" w:hAnsi="仿宋" w:eastAsia="仿宋" w:cs="Arial"/>
          <w:color w:val="auto"/>
          <w:kern w:val="0"/>
          <w:sz w:val="28"/>
          <w:szCs w:val="28"/>
          <w:lang w:val="en" w:eastAsia="zh-CN" w:bidi="ar-SA"/>
        </w:rPr>
        <w:t>：已被我院高职分类考试招收中职毕业生录取的考生，如符合秋季普通高考报名条件且报名参加考试，限报秋季普通高考本科批次的志愿。</w:t>
      </w:r>
    </w:p>
    <w:p>
      <w:pPr>
        <w:spacing w:line="360" w:lineRule="auto"/>
        <w:rPr>
          <w:rFonts w:hint="eastAsia" w:ascii="仿宋" w:hAnsi="仿宋" w:eastAsia="仿宋" w:cs="Arial"/>
          <w:color w:val="auto"/>
          <w:kern w:val="0"/>
          <w:sz w:val="28"/>
          <w:szCs w:val="28"/>
          <w:lang w:val="en" w:eastAsia="zh-CN" w:bidi="ar-SA"/>
        </w:rPr>
      </w:pPr>
    </w:p>
    <w:p>
      <w:pPr>
        <w:spacing w:line="360" w:lineRule="auto"/>
        <w:jc w:val="center"/>
        <w:rPr>
          <w:rFonts w:hint="eastAsia" w:ascii="仿宋" w:hAnsi="仿宋" w:eastAsia="仿宋" w:cs="Arial"/>
          <w:b/>
          <w:bCs/>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第五章  后续管理</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第十九条</w:t>
      </w:r>
      <w:r>
        <w:rPr>
          <w:rFonts w:hint="eastAsia" w:ascii="仿宋" w:hAnsi="仿宋" w:eastAsia="仿宋" w:cs="Arial"/>
          <w:color w:val="auto"/>
          <w:kern w:val="0"/>
          <w:sz w:val="28"/>
          <w:szCs w:val="28"/>
          <w:lang w:val="en" w:eastAsia="zh-CN" w:bidi="ar-SA"/>
        </w:rPr>
        <w:t>：新生入学注册后，学院依据《天津石油职业技术学院学生管理规定》进行管理，按照人才培养方案对学生进行培养。</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第二十条</w:t>
      </w:r>
      <w:r>
        <w:rPr>
          <w:rFonts w:hint="eastAsia" w:ascii="仿宋" w:hAnsi="仿宋" w:eastAsia="仿宋" w:cs="Arial"/>
          <w:color w:val="auto"/>
          <w:kern w:val="0"/>
          <w:sz w:val="28"/>
          <w:szCs w:val="28"/>
          <w:lang w:val="en" w:eastAsia="zh-CN" w:bidi="ar-SA"/>
        </w:rPr>
        <w:t>：我院设有多种形式的奖助学金及勤工助学岗位。</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第二十一条</w:t>
      </w:r>
      <w:r>
        <w:rPr>
          <w:rFonts w:hint="eastAsia" w:ascii="仿宋" w:hAnsi="仿宋" w:eastAsia="仿宋" w:cs="Arial"/>
          <w:color w:val="auto"/>
          <w:kern w:val="0"/>
          <w:sz w:val="28"/>
          <w:szCs w:val="28"/>
          <w:lang w:val="en" w:eastAsia="zh-CN" w:bidi="ar-SA"/>
        </w:rPr>
        <w:t>：学生完成规定的学业经审查达到毕业标准的颁发全日制普通高等学校专科毕业证书。</w:t>
      </w:r>
    </w:p>
    <w:p>
      <w:pPr>
        <w:spacing w:line="360" w:lineRule="auto"/>
        <w:rPr>
          <w:rFonts w:hint="eastAsia" w:ascii="仿宋" w:hAnsi="仿宋" w:eastAsia="仿宋" w:cs="Arial"/>
          <w:color w:val="auto"/>
          <w:kern w:val="0"/>
          <w:sz w:val="28"/>
          <w:szCs w:val="28"/>
          <w:lang w:val="en" w:eastAsia="zh-CN" w:bidi="ar-SA"/>
        </w:rPr>
      </w:pPr>
    </w:p>
    <w:p>
      <w:pPr>
        <w:spacing w:line="360" w:lineRule="auto"/>
        <w:jc w:val="center"/>
        <w:rPr>
          <w:rFonts w:hint="eastAsia" w:ascii="仿宋" w:hAnsi="仿宋" w:eastAsia="仿宋" w:cs="Arial"/>
          <w:b/>
          <w:bCs/>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第六章  附则</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第二十二条</w:t>
      </w:r>
      <w:r>
        <w:rPr>
          <w:rFonts w:hint="eastAsia" w:ascii="仿宋" w:hAnsi="仿宋" w:eastAsia="仿宋" w:cs="Arial"/>
          <w:color w:val="auto"/>
          <w:kern w:val="0"/>
          <w:sz w:val="28"/>
          <w:szCs w:val="28"/>
          <w:lang w:val="en" w:eastAsia="zh-CN" w:bidi="ar-SA"/>
        </w:rPr>
        <w:t>：本章程仅适用于2024年我院普通高职分类考试招收中职毕业生招生工作。</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第二十三条</w:t>
      </w:r>
      <w:r>
        <w:rPr>
          <w:rFonts w:hint="eastAsia" w:ascii="仿宋" w:hAnsi="仿宋" w:eastAsia="仿宋" w:cs="Arial"/>
          <w:color w:val="auto"/>
          <w:kern w:val="0"/>
          <w:sz w:val="28"/>
          <w:szCs w:val="28"/>
          <w:lang w:val="en" w:eastAsia="zh-CN" w:bidi="ar-SA"/>
        </w:rPr>
        <w:t>：本章程经我院招生工作委员会审查通过，报上级主管部门审核。</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第二十四条</w:t>
      </w:r>
      <w:r>
        <w:rPr>
          <w:rFonts w:hint="eastAsia" w:ascii="仿宋" w:hAnsi="仿宋" w:eastAsia="仿宋" w:cs="Arial"/>
          <w:color w:val="auto"/>
          <w:kern w:val="0"/>
          <w:sz w:val="28"/>
          <w:szCs w:val="28"/>
          <w:lang w:val="en" w:eastAsia="zh-CN" w:bidi="ar-SA"/>
        </w:rPr>
        <w:t>：本章程自公布起开始执行。凡以前天津石油职业技术学院有关招生工作的政策、规定与本章程不一致的，一律废止，均以本章程为准。</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第二十五条</w:t>
      </w:r>
      <w:r>
        <w:rPr>
          <w:rFonts w:hint="eastAsia" w:ascii="仿宋" w:hAnsi="仿宋" w:eastAsia="仿宋" w:cs="Arial"/>
          <w:color w:val="auto"/>
          <w:kern w:val="0"/>
          <w:sz w:val="28"/>
          <w:szCs w:val="28"/>
          <w:lang w:val="en" w:eastAsia="zh-CN" w:bidi="ar-SA"/>
        </w:rPr>
        <w:t>：在招生咨询过程中我院咨询人员的意见、建议仅作为考生填报志愿的参考，不属学院录取承诺。</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第二十六条</w:t>
      </w:r>
      <w:r>
        <w:rPr>
          <w:rFonts w:hint="eastAsia" w:ascii="仿宋" w:hAnsi="仿宋" w:eastAsia="仿宋" w:cs="Arial"/>
          <w:color w:val="auto"/>
          <w:kern w:val="0"/>
          <w:sz w:val="28"/>
          <w:szCs w:val="28"/>
          <w:lang w:val="en" w:eastAsia="zh-CN" w:bidi="ar-SA"/>
        </w:rPr>
        <w:t>：本章程由天津石油职业技术学院招生就业处负责解释。</w:t>
      </w:r>
    </w:p>
    <w:p>
      <w:pPr>
        <w:spacing w:line="360" w:lineRule="auto"/>
        <w:ind w:firstLine="562" w:firstLineChars="200"/>
        <w:rPr>
          <w:rFonts w:hint="eastAsia" w:ascii="仿宋" w:hAnsi="仿宋" w:eastAsia="仿宋" w:cs="Arial"/>
          <w:color w:val="auto"/>
          <w:kern w:val="0"/>
          <w:sz w:val="28"/>
          <w:szCs w:val="28"/>
          <w:lang w:val="en" w:eastAsia="zh-CN" w:bidi="ar-SA"/>
        </w:rPr>
      </w:pPr>
      <w:r>
        <w:rPr>
          <w:rFonts w:hint="eastAsia" w:ascii="仿宋" w:hAnsi="仿宋" w:eastAsia="仿宋" w:cs="Arial"/>
          <w:b/>
          <w:bCs/>
          <w:color w:val="auto"/>
          <w:kern w:val="0"/>
          <w:sz w:val="28"/>
          <w:szCs w:val="28"/>
          <w:lang w:val="en" w:eastAsia="zh-CN" w:bidi="ar-SA"/>
        </w:rPr>
        <w:t>第二十七条</w:t>
      </w:r>
      <w:r>
        <w:rPr>
          <w:rFonts w:hint="eastAsia" w:ascii="仿宋" w:hAnsi="仿宋" w:eastAsia="仿宋" w:cs="Arial"/>
          <w:color w:val="auto"/>
          <w:kern w:val="0"/>
          <w:sz w:val="28"/>
          <w:szCs w:val="28"/>
          <w:lang w:val="en" w:eastAsia="zh-CN" w:bidi="ar-SA"/>
        </w:rPr>
        <w:t>：咨询及录取结果查询方式</w:t>
      </w:r>
    </w:p>
    <w:p>
      <w:pPr>
        <w:spacing w:line="360" w:lineRule="auto"/>
        <w:ind w:firstLine="560" w:firstLineChars="200"/>
        <w:rPr>
          <w:rFonts w:hint="eastAsia" w:ascii="仿宋" w:hAnsi="仿宋" w:eastAsia="仿宋" w:cs="Arial"/>
          <w:color w:val="auto"/>
          <w:kern w:val="0"/>
          <w:sz w:val="28"/>
          <w:szCs w:val="28"/>
          <w:lang w:val="en" w:eastAsia="zh-CN" w:bidi="ar-SA"/>
        </w:rPr>
      </w:pPr>
      <w:r>
        <w:rPr>
          <w:rFonts w:hint="eastAsia" w:ascii="仿宋" w:hAnsi="仿宋" w:eastAsia="仿宋" w:cs="Arial"/>
          <w:color w:val="auto"/>
          <w:kern w:val="0"/>
          <w:sz w:val="28"/>
          <w:szCs w:val="28"/>
          <w:lang w:val="en" w:eastAsia="zh-CN" w:bidi="ar-SA"/>
        </w:rPr>
        <w:t xml:space="preserve">网 址：www.tjsyxy.com </w:t>
      </w:r>
    </w:p>
    <w:p>
      <w:pPr>
        <w:spacing w:line="360" w:lineRule="auto"/>
        <w:ind w:firstLine="560" w:firstLineChars="200"/>
        <w:rPr>
          <w:rFonts w:hint="eastAsia" w:ascii="仿宋" w:hAnsi="仿宋" w:eastAsia="仿宋" w:cs="Arial"/>
          <w:color w:val="auto"/>
          <w:kern w:val="0"/>
          <w:sz w:val="28"/>
          <w:szCs w:val="28"/>
          <w:lang w:val="en" w:eastAsia="zh-CN" w:bidi="ar-SA"/>
        </w:rPr>
      </w:pPr>
      <w:r>
        <w:rPr>
          <w:rFonts w:hint="eastAsia" w:ascii="仿宋" w:hAnsi="仿宋" w:eastAsia="仿宋" w:cs="Arial"/>
          <w:color w:val="auto"/>
          <w:kern w:val="0"/>
          <w:sz w:val="28"/>
          <w:szCs w:val="28"/>
          <w:lang w:val="en" w:eastAsia="zh-CN" w:bidi="ar-SA"/>
        </w:rPr>
        <w:t xml:space="preserve">E-mail：tjsyxyzb@126.com </w:t>
      </w:r>
    </w:p>
    <w:p>
      <w:pPr>
        <w:spacing w:line="360" w:lineRule="auto"/>
        <w:ind w:firstLine="560" w:firstLineChars="200"/>
        <w:rPr>
          <w:rFonts w:hint="eastAsia" w:ascii="仿宋" w:hAnsi="仿宋" w:eastAsia="仿宋" w:cs="Arial"/>
          <w:color w:val="auto"/>
          <w:kern w:val="0"/>
          <w:sz w:val="28"/>
          <w:szCs w:val="28"/>
          <w:lang w:val="en" w:eastAsia="zh-CN" w:bidi="ar-SA"/>
        </w:rPr>
      </w:pPr>
      <w:r>
        <w:rPr>
          <w:rFonts w:hint="eastAsia" w:ascii="仿宋" w:hAnsi="仿宋" w:eastAsia="仿宋" w:cs="Arial"/>
          <w:color w:val="auto"/>
          <w:kern w:val="0"/>
          <w:sz w:val="28"/>
          <w:szCs w:val="28"/>
          <w:lang w:val="en" w:eastAsia="zh-CN" w:bidi="ar-SA"/>
        </w:rPr>
        <w:t>电 话：29000650、29000588</w:t>
      </w:r>
    </w:p>
    <w:p>
      <w:pPr>
        <w:spacing w:line="360" w:lineRule="auto"/>
        <w:ind w:firstLine="560" w:firstLineChars="200"/>
        <w:rPr>
          <w:rFonts w:hint="eastAsia" w:ascii="仿宋" w:hAnsi="仿宋" w:eastAsia="仿宋" w:cs="Arial"/>
          <w:color w:val="auto"/>
          <w:kern w:val="0"/>
          <w:sz w:val="28"/>
          <w:szCs w:val="28"/>
          <w:lang w:val="en" w:eastAsia="zh-CN" w:bidi="ar-SA"/>
        </w:rPr>
      </w:pPr>
      <w:r>
        <w:rPr>
          <w:rFonts w:hint="eastAsia" w:ascii="仿宋" w:hAnsi="仿宋" w:eastAsia="仿宋" w:cs="Arial"/>
          <w:color w:val="auto"/>
          <w:kern w:val="0"/>
          <w:sz w:val="28"/>
          <w:szCs w:val="28"/>
          <w:lang w:val="en" w:eastAsia="zh-CN" w:bidi="ar-SA"/>
        </w:rPr>
        <w:t>纪检监察：022-29000254</w:t>
      </w:r>
    </w:p>
    <w:p>
      <w:pPr>
        <w:spacing w:line="360" w:lineRule="auto"/>
        <w:ind w:firstLine="560" w:firstLineChars="200"/>
        <w:rPr>
          <w:rFonts w:hint="eastAsia" w:ascii="仿宋" w:hAnsi="仿宋" w:eastAsia="仿宋" w:cs="Arial"/>
          <w:color w:val="auto"/>
          <w:kern w:val="0"/>
          <w:sz w:val="28"/>
          <w:szCs w:val="28"/>
          <w:lang w:val="en" w:eastAsia="zh-CN" w:bidi="ar-SA"/>
        </w:rPr>
      </w:pPr>
      <w:r>
        <w:rPr>
          <w:rFonts w:hint="eastAsia" w:ascii="仿宋" w:hAnsi="仿宋" w:eastAsia="仿宋" w:cs="Arial"/>
          <w:color w:val="auto"/>
          <w:kern w:val="0"/>
          <w:sz w:val="28"/>
          <w:szCs w:val="28"/>
          <w:lang w:val="en" w:eastAsia="zh-CN" w:bidi="ar-SA"/>
        </w:rPr>
        <w:t>学生处：022-29000459</w:t>
      </w:r>
    </w:p>
    <w:p>
      <w:pPr>
        <w:spacing w:line="360" w:lineRule="auto"/>
        <w:ind w:firstLine="560" w:firstLineChars="200"/>
        <w:rPr>
          <w:rFonts w:hint="eastAsia" w:ascii="仿宋" w:hAnsi="仿宋" w:eastAsia="仿宋" w:cs="Arial"/>
          <w:color w:val="auto"/>
          <w:kern w:val="0"/>
          <w:sz w:val="28"/>
          <w:szCs w:val="28"/>
          <w:lang w:val="en" w:eastAsia="zh-CN" w:bidi="ar-SA"/>
        </w:rPr>
      </w:pPr>
      <w:r>
        <w:rPr>
          <w:rFonts w:hint="eastAsia" w:ascii="仿宋" w:hAnsi="仿宋" w:eastAsia="仿宋" w:cs="Arial"/>
          <w:color w:val="auto"/>
          <w:kern w:val="0"/>
          <w:sz w:val="28"/>
          <w:szCs w:val="28"/>
          <w:lang w:val="en" w:eastAsia="zh-CN" w:bidi="ar-SA"/>
        </w:rPr>
        <w:t>地址：主校区：天津市团泊洼（邮编：301607）</w:t>
      </w:r>
    </w:p>
    <w:p>
      <w:pPr>
        <w:spacing w:line="360" w:lineRule="auto"/>
        <w:ind w:firstLine="560" w:firstLineChars="200"/>
        <w:rPr>
          <w:rFonts w:hint="eastAsia" w:ascii="仿宋" w:hAnsi="仿宋" w:eastAsia="仿宋" w:cs="Arial"/>
          <w:color w:val="auto"/>
          <w:kern w:val="0"/>
          <w:sz w:val="28"/>
          <w:szCs w:val="28"/>
          <w:lang w:val="en" w:eastAsia="zh-CN" w:bidi="ar-SA"/>
        </w:rPr>
      </w:pPr>
      <w:r>
        <w:rPr>
          <w:rFonts w:hint="eastAsia" w:ascii="仿宋" w:hAnsi="仿宋" w:eastAsia="仿宋" w:cs="Arial"/>
          <w:color w:val="auto"/>
          <w:kern w:val="0"/>
          <w:sz w:val="28"/>
          <w:szCs w:val="28"/>
          <w:lang w:val="en" w:eastAsia="zh-CN" w:bidi="ar-SA"/>
        </w:rPr>
        <w:t xml:space="preserve">      分校区：天津市滨海新区大港油田幸福路51号（邮编：300280）</w:t>
      </w:r>
    </w:p>
    <w:p>
      <w:pPr>
        <w:spacing w:line="360" w:lineRule="auto"/>
        <w:ind w:firstLine="560" w:firstLineChars="200"/>
        <w:rPr>
          <w:rFonts w:hint="eastAsia" w:ascii="仿宋" w:hAnsi="仿宋" w:eastAsia="仿宋" w:cs="Arial"/>
          <w:color w:val="auto"/>
          <w:kern w:val="0"/>
          <w:sz w:val="28"/>
          <w:szCs w:val="28"/>
          <w:lang w:val="en" w:eastAsia="zh-CN" w:bidi="ar-S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7A"/>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E3ZThiZDJhYzk0YTBiMTA5NDNjMWY3MTA4YjlmMTkifQ=="/>
  </w:docVars>
  <w:rsids>
    <w:rsidRoot w:val="00571F07"/>
    <w:rsid w:val="00002E3F"/>
    <w:rsid w:val="00006EF0"/>
    <w:rsid w:val="00037A6E"/>
    <w:rsid w:val="00081B9B"/>
    <w:rsid w:val="0013177B"/>
    <w:rsid w:val="00164767"/>
    <w:rsid w:val="00181AC1"/>
    <w:rsid w:val="001925AA"/>
    <w:rsid w:val="001D1C84"/>
    <w:rsid w:val="001F53BC"/>
    <w:rsid w:val="002E0623"/>
    <w:rsid w:val="003203C9"/>
    <w:rsid w:val="00323AC0"/>
    <w:rsid w:val="003C309F"/>
    <w:rsid w:val="003D2B32"/>
    <w:rsid w:val="0044106C"/>
    <w:rsid w:val="004A2001"/>
    <w:rsid w:val="004A7AB6"/>
    <w:rsid w:val="004D1087"/>
    <w:rsid w:val="004E220C"/>
    <w:rsid w:val="00543DDD"/>
    <w:rsid w:val="00550ABD"/>
    <w:rsid w:val="00554786"/>
    <w:rsid w:val="00570A9B"/>
    <w:rsid w:val="00571F07"/>
    <w:rsid w:val="0058735E"/>
    <w:rsid w:val="005B3290"/>
    <w:rsid w:val="006451EE"/>
    <w:rsid w:val="006505AF"/>
    <w:rsid w:val="006653F4"/>
    <w:rsid w:val="007319DD"/>
    <w:rsid w:val="00773F15"/>
    <w:rsid w:val="007B2BBD"/>
    <w:rsid w:val="007B5AC6"/>
    <w:rsid w:val="007B7952"/>
    <w:rsid w:val="007D0B24"/>
    <w:rsid w:val="007D5F01"/>
    <w:rsid w:val="0085102C"/>
    <w:rsid w:val="00886104"/>
    <w:rsid w:val="00903818"/>
    <w:rsid w:val="0091044B"/>
    <w:rsid w:val="0092131F"/>
    <w:rsid w:val="00964732"/>
    <w:rsid w:val="00A0212E"/>
    <w:rsid w:val="00A40411"/>
    <w:rsid w:val="00A6597C"/>
    <w:rsid w:val="00A93BAA"/>
    <w:rsid w:val="00B76404"/>
    <w:rsid w:val="00B82C99"/>
    <w:rsid w:val="00B9355C"/>
    <w:rsid w:val="00B95DDE"/>
    <w:rsid w:val="00C02DF5"/>
    <w:rsid w:val="00C24BF3"/>
    <w:rsid w:val="00C52BDD"/>
    <w:rsid w:val="00C55039"/>
    <w:rsid w:val="00CA5CDB"/>
    <w:rsid w:val="00CB4AEB"/>
    <w:rsid w:val="00D31C3C"/>
    <w:rsid w:val="00D737F4"/>
    <w:rsid w:val="00DC189E"/>
    <w:rsid w:val="00DD79E5"/>
    <w:rsid w:val="00DF201F"/>
    <w:rsid w:val="00DF2529"/>
    <w:rsid w:val="00DF27D2"/>
    <w:rsid w:val="00DF75FD"/>
    <w:rsid w:val="00DF7915"/>
    <w:rsid w:val="00E305B6"/>
    <w:rsid w:val="00EA60F4"/>
    <w:rsid w:val="00EF220F"/>
    <w:rsid w:val="00F57599"/>
    <w:rsid w:val="00F7015F"/>
    <w:rsid w:val="00FA0218"/>
    <w:rsid w:val="00FC0A56"/>
    <w:rsid w:val="00FE6DE7"/>
    <w:rsid w:val="00FF2BDD"/>
    <w:rsid w:val="04067E6F"/>
    <w:rsid w:val="05F953A7"/>
    <w:rsid w:val="09E03008"/>
    <w:rsid w:val="0AB1106A"/>
    <w:rsid w:val="0B2E1B9B"/>
    <w:rsid w:val="0B497221"/>
    <w:rsid w:val="1216778C"/>
    <w:rsid w:val="133F0380"/>
    <w:rsid w:val="20CD617C"/>
    <w:rsid w:val="21074778"/>
    <w:rsid w:val="237044C9"/>
    <w:rsid w:val="23D416F8"/>
    <w:rsid w:val="24DE51F9"/>
    <w:rsid w:val="2713012D"/>
    <w:rsid w:val="27B30E28"/>
    <w:rsid w:val="283F065E"/>
    <w:rsid w:val="2930019F"/>
    <w:rsid w:val="2CC17B44"/>
    <w:rsid w:val="2ECA44C4"/>
    <w:rsid w:val="2FAD117A"/>
    <w:rsid w:val="313C4AFD"/>
    <w:rsid w:val="36B549A4"/>
    <w:rsid w:val="37865C12"/>
    <w:rsid w:val="3B295DAC"/>
    <w:rsid w:val="3CA423E2"/>
    <w:rsid w:val="402B53CC"/>
    <w:rsid w:val="46205301"/>
    <w:rsid w:val="48492F3C"/>
    <w:rsid w:val="4C2F6CAA"/>
    <w:rsid w:val="4D432116"/>
    <w:rsid w:val="4E6C1867"/>
    <w:rsid w:val="50CA7D54"/>
    <w:rsid w:val="5164480A"/>
    <w:rsid w:val="518162FA"/>
    <w:rsid w:val="524550C4"/>
    <w:rsid w:val="556B1CFF"/>
    <w:rsid w:val="57F32248"/>
    <w:rsid w:val="5A0F6CA3"/>
    <w:rsid w:val="5AA93974"/>
    <w:rsid w:val="5F0505E2"/>
    <w:rsid w:val="601C7168"/>
    <w:rsid w:val="61F919D9"/>
    <w:rsid w:val="65E82F51"/>
    <w:rsid w:val="66C935BF"/>
    <w:rsid w:val="67834F8F"/>
    <w:rsid w:val="67C07895"/>
    <w:rsid w:val="69605A13"/>
    <w:rsid w:val="6BB02484"/>
    <w:rsid w:val="6D462F5B"/>
    <w:rsid w:val="70C64FCE"/>
    <w:rsid w:val="72B81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jc w:val="left"/>
    </w:pPr>
    <w:rPr>
      <w:rFonts w:ascii="宋体" w:hAnsi="宋体" w:eastAsia="宋体" w:cs="宋体"/>
      <w:kern w:val="0"/>
      <w:sz w:val="24"/>
      <w:szCs w:val="24"/>
    </w:rPr>
  </w:style>
  <w:style w:type="character" w:customStyle="1" w:styleId="7">
    <w:name w:val="页眉 Char"/>
    <w:basedOn w:val="6"/>
    <w:link w:val="3"/>
    <w:qFormat/>
    <w:uiPriority w:val="0"/>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C2670-69AD-4701-9547-2D7F1FAA52B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2536</Words>
  <Characters>2664</Characters>
  <Lines>11</Lines>
  <Paragraphs>7</Paragraphs>
  <TotalTime>0</TotalTime>
  <ScaleCrop>false</ScaleCrop>
  <LinksUpToDate>false</LinksUpToDate>
  <CharactersWithSpaces>3857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2018-10-29T08:49:00Z</dcterms:created>
  <dc:creator>韩永辉</dc:creator>
  <cp:lastModifiedBy>Leopard</cp:lastModifiedBy>
  <dcterms:modified xsi:type="dcterms:W3CDTF">2024-04-07T01:30:46Z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400F624FE21C408C93F430AE012BB511</vt:lpwstr>
  </property>
</Properties>
</file>