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beforeLines="50" w:afterLines="50"/>
        <w:jc w:val="center"/>
        <w:rPr>
          <w:rFonts w:hint="eastAsia" w:ascii="方正小标宋简体" w:hAnsi="宋体" w:eastAsia="方正小标宋简体"/>
          <w:sz w:val="28"/>
          <w:szCs w:val="28"/>
        </w:rPr>
      </w:pPr>
      <w:r>
        <w:rPr>
          <w:rFonts w:hint="eastAsia" w:ascii="方正小标宋简体" w:hAnsi="宋体" w:eastAsia="方正小标宋简体"/>
          <w:sz w:val="28"/>
          <w:szCs w:val="28"/>
        </w:rPr>
        <w:t>天津铁道职业技术学院</w:t>
      </w:r>
    </w:p>
    <w:p>
      <w:pPr>
        <w:spacing w:beforeLines="50" w:afterLines="50"/>
        <w:jc w:val="center"/>
        <w:rPr>
          <w:rFonts w:ascii="方正小标宋简体" w:hAnsi="宋体" w:eastAsia="方正小标宋简体"/>
          <w:sz w:val="36"/>
          <w:szCs w:val="36"/>
        </w:rPr>
      </w:pPr>
      <w:r>
        <w:rPr>
          <w:rFonts w:hint="eastAsia" w:ascii="方正小标宋简体" w:hAnsi="宋体" w:eastAsia="方正小标宋简体"/>
          <w:sz w:val="28"/>
          <w:szCs w:val="28"/>
          <w:lang w:eastAsia="zh-CN"/>
        </w:rPr>
        <w:t>2024年天津市高职分类考试</w:t>
      </w:r>
      <w:r>
        <w:rPr>
          <w:rFonts w:hint="eastAsia" w:ascii="方正小标宋简体" w:hAnsi="宋体" w:eastAsia="方正小标宋简体"/>
          <w:sz w:val="28"/>
          <w:szCs w:val="28"/>
        </w:rPr>
        <w:t>招收普通高中毕业生章程</w:t>
      </w:r>
    </w:p>
    <w:p>
      <w:pPr>
        <w:spacing w:beforeLines="50" w:afterLines="50" w:line="440" w:lineRule="exact"/>
        <w:jc w:val="center"/>
        <w:rPr>
          <w:rFonts w:ascii="黑体" w:hAnsi="黑体" w:eastAsia="黑体"/>
          <w:sz w:val="30"/>
          <w:szCs w:val="30"/>
        </w:rPr>
      </w:pPr>
      <w:r>
        <w:rPr>
          <w:rFonts w:hint="eastAsia" w:ascii="黑体" w:hAnsi="黑体" w:eastAsia="黑体"/>
          <w:sz w:val="30"/>
          <w:szCs w:val="30"/>
        </w:rPr>
        <w:t xml:space="preserve">第一章 </w:t>
      </w:r>
      <w:r>
        <w:rPr>
          <w:rFonts w:ascii="黑体" w:hAnsi="黑体" w:eastAsia="黑体"/>
          <w:sz w:val="30"/>
          <w:szCs w:val="30"/>
        </w:rPr>
        <w:t>总  则</w:t>
      </w:r>
    </w:p>
    <w:p>
      <w:pPr>
        <w:numPr>
          <w:ilvl w:val="0"/>
          <w:numId w:val="1"/>
        </w:numPr>
        <w:tabs>
          <w:tab w:val="left" w:pos="1260"/>
          <w:tab w:val="clear" w:pos="2877"/>
        </w:tabs>
        <w:spacing w:line="400" w:lineRule="exact"/>
        <w:ind w:left="-120" w:leftChars="0" w:firstLine="480" w:firstLineChars="0"/>
        <w:rPr>
          <w:rFonts w:ascii="仿宋" w:hAnsi="仿宋" w:eastAsia="仿宋"/>
          <w:sz w:val="24"/>
        </w:rPr>
      </w:pPr>
      <w:r>
        <w:rPr>
          <w:rFonts w:ascii="仿宋" w:hAnsi="仿宋" w:eastAsia="仿宋"/>
          <w:sz w:val="24"/>
        </w:rPr>
        <w:t>根据《中华人民共和国教育法》、《中华人民共和国</w:t>
      </w:r>
      <w:r>
        <w:rPr>
          <w:rFonts w:hint="eastAsia" w:ascii="仿宋" w:hAnsi="仿宋" w:eastAsia="仿宋"/>
          <w:sz w:val="24"/>
          <w:lang w:eastAsia="zh-CN"/>
        </w:rPr>
        <w:t>职业</w:t>
      </w:r>
      <w:r>
        <w:rPr>
          <w:rFonts w:ascii="仿宋" w:hAnsi="仿宋" w:eastAsia="仿宋"/>
          <w:sz w:val="24"/>
        </w:rPr>
        <w:t>教育法》等法律法规，为维护学院和考生的合法权益，依法招生，结合学院招生工作实际，制定本章程。</w:t>
      </w:r>
    </w:p>
    <w:p>
      <w:pPr>
        <w:numPr>
          <w:ilvl w:val="0"/>
          <w:numId w:val="1"/>
        </w:numPr>
        <w:tabs>
          <w:tab w:val="left" w:pos="1260"/>
          <w:tab w:val="clear" w:pos="2877"/>
        </w:tabs>
        <w:spacing w:line="400" w:lineRule="exact"/>
        <w:ind w:left="-120" w:leftChars="0" w:firstLine="480" w:firstLineChars="0"/>
        <w:rPr>
          <w:rFonts w:ascii="仿宋" w:hAnsi="仿宋" w:eastAsia="仿宋"/>
          <w:sz w:val="24"/>
        </w:rPr>
      </w:pPr>
      <w:r>
        <w:rPr>
          <w:rFonts w:ascii="仿宋" w:hAnsi="仿宋" w:eastAsia="仿宋"/>
          <w:sz w:val="24"/>
        </w:rPr>
        <w:t>本章程是社会了解学院有关招生政策、规定及相关信息的主要渠道，是学院开展招生咨询和录取工作的主要依据。</w:t>
      </w:r>
    </w:p>
    <w:p>
      <w:pPr>
        <w:numPr>
          <w:ilvl w:val="0"/>
          <w:numId w:val="1"/>
        </w:numPr>
        <w:tabs>
          <w:tab w:val="left" w:pos="1260"/>
          <w:tab w:val="clear" w:pos="2877"/>
        </w:tabs>
        <w:spacing w:line="400" w:lineRule="exact"/>
        <w:ind w:left="-120" w:leftChars="0" w:firstLine="480" w:firstLineChars="0"/>
        <w:rPr>
          <w:rFonts w:ascii="仿宋" w:hAnsi="仿宋" w:eastAsia="仿宋"/>
          <w:sz w:val="24"/>
        </w:rPr>
      </w:pPr>
      <w:r>
        <w:rPr>
          <w:rFonts w:ascii="仿宋" w:hAnsi="仿宋" w:eastAsia="仿宋"/>
          <w:sz w:val="24"/>
        </w:rPr>
        <w:t>根据</w:t>
      </w:r>
      <w:r>
        <w:rPr>
          <w:rFonts w:ascii="仿宋" w:hAnsi="仿宋" w:eastAsia="仿宋"/>
          <w:color w:val="auto"/>
          <w:sz w:val="24"/>
        </w:rPr>
        <w:t>《</w:t>
      </w:r>
      <w:r>
        <w:rPr>
          <w:rFonts w:hint="eastAsia" w:ascii="仿宋" w:hAnsi="仿宋" w:eastAsia="仿宋"/>
          <w:color w:val="auto"/>
          <w:sz w:val="24"/>
          <w:lang w:eastAsia="zh-CN"/>
        </w:rPr>
        <w:t>2024</w:t>
      </w:r>
      <w:r>
        <w:rPr>
          <w:rFonts w:ascii="仿宋" w:hAnsi="仿宋" w:eastAsia="仿宋"/>
          <w:color w:val="auto"/>
          <w:sz w:val="24"/>
        </w:rPr>
        <w:t>年天津市高职院校</w:t>
      </w:r>
      <w:r>
        <w:rPr>
          <w:rFonts w:hint="eastAsia" w:ascii="仿宋" w:hAnsi="仿宋" w:eastAsia="仿宋"/>
          <w:color w:val="auto"/>
          <w:sz w:val="24"/>
          <w:lang w:eastAsia="zh-CN"/>
        </w:rPr>
        <w:t>分类</w:t>
      </w:r>
      <w:r>
        <w:rPr>
          <w:rFonts w:hint="eastAsia" w:ascii="仿宋" w:hAnsi="仿宋" w:eastAsia="仿宋"/>
          <w:color w:val="auto"/>
          <w:sz w:val="24"/>
        </w:rPr>
        <w:t>考试招</w:t>
      </w:r>
      <w:r>
        <w:rPr>
          <w:rFonts w:hint="eastAsia" w:ascii="仿宋" w:hAnsi="仿宋" w:eastAsia="仿宋"/>
          <w:color w:val="auto"/>
          <w:sz w:val="24"/>
          <w:lang w:val="en-US" w:eastAsia="zh-CN"/>
        </w:rPr>
        <w:t>生</w:t>
      </w:r>
      <w:r>
        <w:rPr>
          <w:rFonts w:hint="eastAsia" w:ascii="仿宋" w:hAnsi="仿宋" w:eastAsia="仿宋"/>
          <w:color w:val="auto"/>
          <w:sz w:val="24"/>
        </w:rPr>
        <w:t>实施办法</w:t>
      </w:r>
      <w:r>
        <w:rPr>
          <w:rFonts w:ascii="仿宋" w:hAnsi="仿宋" w:eastAsia="仿宋"/>
          <w:color w:val="auto"/>
          <w:sz w:val="24"/>
        </w:rPr>
        <w:t>》</w:t>
      </w:r>
      <w:r>
        <w:rPr>
          <w:rFonts w:ascii="仿宋" w:hAnsi="仿宋" w:eastAsia="仿宋"/>
          <w:sz w:val="24"/>
        </w:rPr>
        <w:t>规定，已被</w:t>
      </w:r>
      <w:r>
        <w:rPr>
          <w:rFonts w:hint="eastAsia" w:ascii="仿宋" w:hAnsi="仿宋" w:eastAsia="仿宋"/>
          <w:sz w:val="24"/>
          <w:lang w:eastAsia="zh-CN"/>
        </w:rPr>
        <w:t>高职分类</w:t>
      </w:r>
      <w:r>
        <w:rPr>
          <w:rFonts w:ascii="仿宋" w:hAnsi="仿宋" w:eastAsia="仿宋"/>
          <w:sz w:val="24"/>
        </w:rPr>
        <w:t>招生高职院校录取的考生，如符合秋季普通高考报名条件且报名参加考试，</w:t>
      </w:r>
      <w:r>
        <w:rPr>
          <w:rFonts w:hint="eastAsia" w:ascii="仿宋" w:hAnsi="仿宋" w:eastAsia="仿宋"/>
          <w:sz w:val="24"/>
        </w:rPr>
        <w:t>只能报考</w:t>
      </w:r>
      <w:r>
        <w:rPr>
          <w:rFonts w:ascii="仿宋" w:hAnsi="仿宋" w:eastAsia="仿宋"/>
          <w:sz w:val="24"/>
        </w:rPr>
        <w:t>普通高考本科各批次的志愿。如考生被</w:t>
      </w:r>
      <w:r>
        <w:rPr>
          <w:rFonts w:hint="eastAsia" w:ascii="仿宋" w:hAnsi="仿宋" w:eastAsia="仿宋"/>
          <w:sz w:val="24"/>
        </w:rPr>
        <w:t>普通</w:t>
      </w:r>
      <w:r>
        <w:rPr>
          <w:rFonts w:ascii="仿宋" w:hAnsi="仿宋" w:eastAsia="仿宋"/>
          <w:sz w:val="24"/>
        </w:rPr>
        <w:t>高考本科层次院校和</w:t>
      </w:r>
      <w:r>
        <w:rPr>
          <w:rFonts w:hint="eastAsia" w:ascii="仿宋" w:hAnsi="仿宋" w:eastAsia="仿宋"/>
          <w:sz w:val="24"/>
          <w:lang w:eastAsia="zh-CN"/>
        </w:rPr>
        <w:t>高职分类招生</w:t>
      </w:r>
      <w:r>
        <w:rPr>
          <w:rFonts w:hint="eastAsia" w:ascii="仿宋" w:hAnsi="仿宋" w:eastAsia="仿宋"/>
          <w:sz w:val="24"/>
        </w:rPr>
        <w:t>高职院校</w:t>
      </w:r>
      <w:r>
        <w:rPr>
          <w:rFonts w:ascii="仿宋" w:hAnsi="仿宋" w:eastAsia="仿宋"/>
          <w:sz w:val="24"/>
        </w:rPr>
        <w:t>同时录取，教育主管部门在进行电子学籍注册时，只保留其普通高考本科层次录取资格，</w:t>
      </w:r>
      <w:r>
        <w:rPr>
          <w:rFonts w:hint="eastAsia" w:ascii="仿宋" w:hAnsi="仿宋" w:eastAsia="仿宋"/>
          <w:sz w:val="24"/>
          <w:lang w:eastAsia="zh-CN"/>
        </w:rPr>
        <w:t>高职分类招生</w:t>
      </w:r>
      <w:r>
        <w:rPr>
          <w:rFonts w:ascii="仿宋" w:hAnsi="仿宋" w:eastAsia="仿宋"/>
          <w:sz w:val="24"/>
        </w:rPr>
        <w:t>的录取资格将予注销。</w:t>
      </w:r>
    </w:p>
    <w:p>
      <w:pPr>
        <w:numPr>
          <w:ilvl w:val="0"/>
          <w:numId w:val="1"/>
        </w:numPr>
        <w:tabs>
          <w:tab w:val="left" w:pos="1260"/>
          <w:tab w:val="clear" w:pos="2877"/>
        </w:tabs>
        <w:spacing w:line="400" w:lineRule="exact"/>
        <w:ind w:left="-120" w:leftChars="0" w:firstLine="480" w:firstLineChars="0"/>
        <w:rPr>
          <w:rFonts w:ascii="仿宋" w:hAnsi="仿宋" w:eastAsia="仿宋"/>
          <w:sz w:val="24"/>
        </w:rPr>
      </w:pPr>
      <w:r>
        <w:rPr>
          <w:rFonts w:ascii="仿宋" w:hAnsi="仿宋" w:eastAsia="仿宋"/>
          <w:sz w:val="24"/>
        </w:rPr>
        <w:t>学院概况</w:t>
      </w:r>
    </w:p>
    <w:p>
      <w:pPr>
        <w:widowControl/>
        <w:numPr>
          <w:ilvl w:val="0"/>
          <w:numId w:val="2"/>
        </w:numPr>
        <w:tabs>
          <w:tab w:val="clear" w:pos="1320"/>
        </w:tabs>
        <w:spacing w:line="400" w:lineRule="exact"/>
        <w:ind w:left="420" w:leftChars="200" w:firstLine="288" w:firstLineChars="120"/>
        <w:jc w:val="left"/>
        <w:rPr>
          <w:rFonts w:ascii="仿宋" w:hAnsi="仿宋" w:eastAsia="仿宋"/>
          <w:color w:val="111111"/>
          <w:kern w:val="0"/>
          <w:sz w:val="24"/>
        </w:rPr>
      </w:pPr>
      <w:r>
        <w:rPr>
          <w:rFonts w:ascii="仿宋" w:hAnsi="仿宋" w:eastAsia="仿宋"/>
          <w:color w:val="111111"/>
          <w:kern w:val="0"/>
          <w:sz w:val="24"/>
        </w:rPr>
        <w:t>学院名称：天津铁道职业技术学院</w:t>
      </w:r>
    </w:p>
    <w:p>
      <w:pPr>
        <w:widowControl/>
        <w:numPr>
          <w:ilvl w:val="0"/>
          <w:numId w:val="2"/>
        </w:numPr>
        <w:tabs>
          <w:tab w:val="clear" w:pos="1320"/>
        </w:tabs>
        <w:spacing w:line="400" w:lineRule="exact"/>
        <w:ind w:left="420" w:leftChars="200" w:firstLine="288" w:firstLineChars="120"/>
        <w:jc w:val="left"/>
        <w:rPr>
          <w:rFonts w:ascii="仿宋" w:hAnsi="仿宋" w:eastAsia="仿宋"/>
          <w:color w:val="111111"/>
          <w:kern w:val="0"/>
          <w:sz w:val="24"/>
        </w:rPr>
      </w:pPr>
      <w:r>
        <w:rPr>
          <w:rFonts w:ascii="仿宋" w:hAnsi="仿宋" w:eastAsia="仿宋"/>
          <w:color w:val="111111"/>
          <w:kern w:val="0"/>
          <w:sz w:val="24"/>
        </w:rPr>
        <w:t>办学类型：全日制公办普通高等学校</w:t>
      </w:r>
    </w:p>
    <w:p>
      <w:pPr>
        <w:widowControl/>
        <w:numPr>
          <w:ilvl w:val="0"/>
          <w:numId w:val="2"/>
        </w:numPr>
        <w:tabs>
          <w:tab w:val="clear" w:pos="1320"/>
        </w:tabs>
        <w:spacing w:line="400" w:lineRule="exact"/>
        <w:ind w:left="420" w:leftChars="200" w:firstLine="288" w:firstLineChars="120"/>
        <w:jc w:val="left"/>
        <w:rPr>
          <w:rFonts w:ascii="仿宋" w:hAnsi="仿宋" w:eastAsia="仿宋"/>
          <w:color w:val="111111"/>
          <w:kern w:val="0"/>
          <w:sz w:val="24"/>
        </w:rPr>
      </w:pPr>
      <w:r>
        <w:rPr>
          <w:rFonts w:ascii="仿宋" w:hAnsi="仿宋" w:eastAsia="仿宋"/>
          <w:color w:val="111111"/>
          <w:kern w:val="0"/>
          <w:sz w:val="24"/>
        </w:rPr>
        <w:t>办学层次：高职</w:t>
      </w:r>
      <w:r>
        <w:rPr>
          <w:rFonts w:hint="eastAsia" w:ascii="仿宋" w:hAnsi="仿宋" w:eastAsia="仿宋"/>
          <w:color w:val="111111"/>
          <w:kern w:val="0"/>
          <w:sz w:val="24"/>
          <w:lang w:eastAsia="zh-CN"/>
        </w:rPr>
        <w:t>（专科）</w:t>
      </w:r>
    </w:p>
    <w:p>
      <w:pPr>
        <w:widowControl/>
        <w:numPr>
          <w:ilvl w:val="0"/>
          <w:numId w:val="2"/>
        </w:numPr>
        <w:tabs>
          <w:tab w:val="clear" w:pos="1320"/>
        </w:tabs>
        <w:spacing w:line="400" w:lineRule="exact"/>
        <w:ind w:left="420" w:leftChars="200" w:firstLine="288" w:firstLineChars="120"/>
        <w:jc w:val="left"/>
        <w:rPr>
          <w:rFonts w:ascii="仿宋" w:hAnsi="仿宋" w:eastAsia="仿宋"/>
          <w:color w:val="111111"/>
          <w:kern w:val="0"/>
          <w:sz w:val="24"/>
        </w:rPr>
      </w:pPr>
      <w:r>
        <w:rPr>
          <w:rFonts w:ascii="仿宋" w:hAnsi="仿宋" w:eastAsia="仿宋"/>
          <w:color w:val="111111"/>
          <w:kern w:val="0"/>
          <w:sz w:val="24"/>
        </w:rPr>
        <w:t>学院代码：13863</w:t>
      </w:r>
    </w:p>
    <w:p>
      <w:pPr>
        <w:widowControl/>
        <w:numPr>
          <w:ilvl w:val="0"/>
          <w:numId w:val="2"/>
        </w:numPr>
        <w:tabs>
          <w:tab w:val="clear" w:pos="1320"/>
        </w:tabs>
        <w:spacing w:line="400" w:lineRule="exact"/>
        <w:ind w:left="420" w:leftChars="200" w:firstLine="288" w:firstLineChars="120"/>
        <w:jc w:val="left"/>
        <w:rPr>
          <w:rFonts w:ascii="仿宋" w:hAnsi="仿宋" w:eastAsia="仿宋"/>
          <w:color w:val="111111"/>
          <w:kern w:val="0"/>
          <w:sz w:val="24"/>
        </w:rPr>
      </w:pPr>
      <w:r>
        <w:rPr>
          <w:rFonts w:ascii="仿宋" w:hAnsi="仿宋" w:eastAsia="仿宋"/>
          <w:color w:val="111111"/>
          <w:kern w:val="0"/>
          <w:sz w:val="24"/>
        </w:rPr>
        <w:t>学院地址：</w:t>
      </w:r>
      <w:r>
        <w:rPr>
          <w:rFonts w:hint="eastAsia" w:ascii="仿宋" w:hAnsi="仿宋" w:eastAsia="仿宋"/>
          <w:color w:val="111111"/>
          <w:kern w:val="0"/>
          <w:sz w:val="24"/>
        </w:rPr>
        <w:t xml:space="preserve"> </w:t>
      </w:r>
    </w:p>
    <w:p>
      <w:pPr>
        <w:widowControl/>
        <w:spacing w:line="400" w:lineRule="exact"/>
        <w:ind w:firstLine="1984" w:firstLineChars="827"/>
        <w:contextualSpacing/>
        <w:jc w:val="left"/>
        <w:rPr>
          <w:rFonts w:ascii="仿宋" w:hAnsi="仿宋" w:eastAsia="仿宋"/>
          <w:sz w:val="24"/>
        </w:rPr>
      </w:pPr>
      <w:r>
        <w:rPr>
          <w:rFonts w:hint="eastAsia" w:ascii="仿宋" w:hAnsi="仿宋" w:eastAsia="仿宋"/>
          <w:sz w:val="24"/>
        </w:rPr>
        <w:t>主校区：</w:t>
      </w:r>
      <w:r>
        <w:rPr>
          <w:rFonts w:ascii="仿宋" w:hAnsi="仿宋" w:eastAsia="仿宋"/>
          <w:sz w:val="24"/>
        </w:rPr>
        <w:t>天津市河北区建昌道21号</w:t>
      </w:r>
    </w:p>
    <w:p>
      <w:pPr>
        <w:widowControl/>
        <w:spacing w:line="400" w:lineRule="exact"/>
        <w:ind w:firstLine="1984" w:firstLineChars="827"/>
        <w:contextualSpacing/>
        <w:jc w:val="left"/>
        <w:rPr>
          <w:rFonts w:ascii="仿宋" w:hAnsi="仿宋" w:eastAsia="仿宋"/>
          <w:sz w:val="24"/>
        </w:rPr>
      </w:pPr>
      <w:r>
        <w:rPr>
          <w:rFonts w:hint="eastAsia" w:ascii="仿宋" w:hAnsi="仿宋" w:eastAsia="仿宋"/>
          <w:sz w:val="24"/>
        </w:rPr>
        <w:t>南校区：天津市河北区金钟河大街232号</w:t>
      </w:r>
    </w:p>
    <w:p>
      <w:pPr>
        <w:spacing w:beforeLines="50" w:afterLines="50" w:line="440" w:lineRule="exact"/>
        <w:jc w:val="center"/>
        <w:rPr>
          <w:rFonts w:ascii="黑体" w:hAnsi="黑体" w:eastAsia="黑体"/>
          <w:sz w:val="30"/>
          <w:szCs w:val="30"/>
        </w:rPr>
      </w:pPr>
      <w:r>
        <w:rPr>
          <w:rFonts w:ascii="黑体" w:hAnsi="黑体" w:eastAsia="黑体"/>
          <w:sz w:val="30"/>
          <w:szCs w:val="30"/>
        </w:rPr>
        <w:t>第二章  招生组织机构</w:t>
      </w:r>
    </w:p>
    <w:p>
      <w:pPr>
        <w:numPr>
          <w:ilvl w:val="0"/>
          <w:numId w:val="1"/>
        </w:numPr>
        <w:tabs>
          <w:tab w:val="left" w:pos="1260"/>
          <w:tab w:val="clear" w:pos="2877"/>
        </w:tabs>
        <w:spacing w:line="400" w:lineRule="exact"/>
        <w:ind w:left="-120" w:leftChars="0" w:firstLine="480" w:firstLineChars="0"/>
        <w:rPr>
          <w:rFonts w:ascii="仿宋" w:hAnsi="仿宋" w:eastAsia="仿宋"/>
          <w:sz w:val="24"/>
        </w:rPr>
      </w:pPr>
      <w:r>
        <w:rPr>
          <w:rFonts w:ascii="仿宋" w:hAnsi="仿宋" w:eastAsia="仿宋"/>
          <w:sz w:val="24"/>
        </w:rPr>
        <w:t>学院成立招生委员会，</w:t>
      </w:r>
      <w:r>
        <w:rPr>
          <w:rFonts w:hint="eastAsia" w:ascii="仿宋" w:hAnsi="仿宋" w:eastAsia="仿宋"/>
          <w:sz w:val="24"/>
        </w:rPr>
        <w:t>负责讨论有关招生工作的重大事宜，对学院招生工作进行决策咨询。</w:t>
      </w:r>
      <w:r>
        <w:rPr>
          <w:rFonts w:ascii="仿宋" w:hAnsi="仿宋" w:eastAsia="仿宋"/>
          <w:sz w:val="24"/>
        </w:rPr>
        <w:t>学院纪委成立招生工作监察小组，负责监督整个招生过程，确保学院招生工作公平、公正。</w:t>
      </w:r>
    </w:p>
    <w:p>
      <w:pPr>
        <w:numPr>
          <w:ilvl w:val="0"/>
          <w:numId w:val="1"/>
        </w:numPr>
        <w:tabs>
          <w:tab w:val="left" w:pos="1260"/>
          <w:tab w:val="clear" w:pos="2877"/>
        </w:tabs>
        <w:spacing w:line="400" w:lineRule="exact"/>
        <w:ind w:left="-120" w:leftChars="0" w:firstLine="480" w:firstLineChars="0"/>
        <w:rPr>
          <w:rFonts w:ascii="仿宋" w:hAnsi="仿宋" w:eastAsia="仿宋"/>
          <w:sz w:val="24"/>
        </w:rPr>
      </w:pPr>
      <w:r>
        <w:rPr>
          <w:rFonts w:hint="eastAsia" w:ascii="仿宋" w:hAnsi="仿宋" w:eastAsia="仿宋"/>
          <w:sz w:val="24"/>
        </w:rPr>
        <w:t>学院成立招生工作领导小组，统一领导学院招生工作。学院招生就业</w:t>
      </w:r>
      <w:r>
        <w:rPr>
          <w:rFonts w:hint="eastAsia" w:ascii="仿宋" w:hAnsi="仿宋" w:eastAsia="仿宋"/>
          <w:sz w:val="24"/>
          <w:lang w:eastAsia="zh-CN"/>
        </w:rPr>
        <w:t>办公室</w:t>
      </w:r>
      <w:r>
        <w:rPr>
          <w:rFonts w:hint="eastAsia" w:ascii="仿宋" w:hAnsi="仿宋" w:eastAsia="仿宋"/>
          <w:sz w:val="24"/>
        </w:rPr>
        <w:t>是组织和实施招生工作的常设机构，负责招生的日常工作。</w:t>
      </w:r>
    </w:p>
    <w:p>
      <w:pPr>
        <w:spacing w:beforeLines="50" w:afterLines="50" w:line="440" w:lineRule="exact"/>
        <w:jc w:val="center"/>
        <w:rPr>
          <w:rFonts w:ascii="黑体" w:hAnsi="黑体" w:eastAsia="黑体"/>
          <w:sz w:val="30"/>
          <w:szCs w:val="30"/>
        </w:rPr>
      </w:pPr>
      <w:r>
        <w:rPr>
          <w:rFonts w:ascii="黑体" w:hAnsi="黑体" w:eastAsia="黑体"/>
          <w:sz w:val="30"/>
          <w:szCs w:val="30"/>
        </w:rPr>
        <w:t>第三章  招生计划及收费标准</w:t>
      </w:r>
    </w:p>
    <w:p>
      <w:pPr>
        <w:numPr>
          <w:ilvl w:val="0"/>
          <w:numId w:val="1"/>
        </w:numPr>
        <w:tabs>
          <w:tab w:val="left" w:pos="1260"/>
          <w:tab w:val="clear" w:pos="2877"/>
        </w:tabs>
        <w:spacing w:line="400" w:lineRule="exact"/>
        <w:ind w:left="-120" w:leftChars="0" w:firstLine="480" w:firstLineChars="0"/>
        <w:rPr>
          <w:rFonts w:hint="eastAsia" w:ascii="仿宋" w:hAnsi="仿宋" w:eastAsia="仿宋"/>
          <w:sz w:val="24"/>
        </w:rPr>
      </w:pPr>
      <w:r>
        <w:rPr>
          <w:rFonts w:hint="eastAsia" w:ascii="仿宋" w:hAnsi="仿宋" w:eastAsia="仿宋"/>
          <w:sz w:val="24"/>
        </w:rPr>
        <w:t>学院根据办学条件、专业发展、生源状况和社会需求，制定</w:t>
      </w:r>
      <w:r>
        <w:rPr>
          <w:rFonts w:hint="eastAsia" w:ascii="仿宋" w:hAnsi="仿宋" w:eastAsia="仿宋"/>
          <w:sz w:val="24"/>
          <w:lang w:eastAsia="zh-CN"/>
        </w:rPr>
        <w:t>2024</w:t>
      </w:r>
      <w:r>
        <w:rPr>
          <w:rFonts w:hint="eastAsia" w:ascii="仿宋" w:hAnsi="仿宋" w:eastAsia="仿宋"/>
          <w:sz w:val="24"/>
        </w:rPr>
        <w:t>年</w:t>
      </w:r>
      <w:r>
        <w:rPr>
          <w:rFonts w:hint="eastAsia" w:ascii="仿宋" w:hAnsi="仿宋" w:eastAsia="仿宋"/>
          <w:sz w:val="24"/>
          <w:lang w:eastAsia="zh-CN"/>
        </w:rPr>
        <w:t>天津市分类考试</w:t>
      </w:r>
      <w:r>
        <w:rPr>
          <w:rFonts w:hint="eastAsia" w:ascii="仿宋" w:hAnsi="仿宋" w:eastAsia="仿宋"/>
          <w:sz w:val="24"/>
        </w:rPr>
        <w:t>招收普通高中毕业生分专业招生计划。具体分专业招生计划详见</w:t>
      </w:r>
      <w:r>
        <w:rPr>
          <w:rFonts w:hint="eastAsia" w:ascii="仿宋" w:hAnsi="仿宋" w:eastAsia="仿宋"/>
          <w:color w:val="auto"/>
          <w:sz w:val="24"/>
        </w:rPr>
        <w:t>《</w:t>
      </w:r>
      <w:r>
        <w:rPr>
          <w:rFonts w:hint="eastAsia" w:ascii="仿宋" w:hAnsi="仿宋" w:eastAsia="仿宋"/>
          <w:color w:val="auto"/>
          <w:sz w:val="24"/>
          <w:lang w:eastAsia="zh-CN"/>
        </w:rPr>
        <w:t>2024</w:t>
      </w:r>
      <w:r>
        <w:rPr>
          <w:rFonts w:hint="eastAsia" w:ascii="仿宋" w:hAnsi="仿宋" w:eastAsia="仿宋"/>
          <w:color w:val="auto"/>
          <w:sz w:val="24"/>
        </w:rPr>
        <w:t>年天津市</w:t>
      </w:r>
      <w:r>
        <w:rPr>
          <w:rFonts w:hint="eastAsia" w:ascii="仿宋" w:hAnsi="仿宋" w:eastAsia="仿宋"/>
          <w:color w:val="auto"/>
          <w:sz w:val="24"/>
          <w:lang w:eastAsia="zh-CN"/>
        </w:rPr>
        <w:t>分类考试</w:t>
      </w:r>
      <w:r>
        <w:rPr>
          <w:rFonts w:hint="eastAsia" w:ascii="仿宋" w:hAnsi="仿宋" w:eastAsia="仿宋"/>
          <w:color w:val="auto"/>
          <w:sz w:val="24"/>
        </w:rPr>
        <w:t>招收普通高中毕业生计划》</w:t>
      </w:r>
      <w:r>
        <w:rPr>
          <w:rFonts w:hint="eastAsia" w:ascii="仿宋" w:hAnsi="仿宋" w:eastAsia="仿宋"/>
          <w:sz w:val="24"/>
        </w:rPr>
        <w:t>，专业介绍请登录学院网站(www.tjtdxy.cn)了解。</w:t>
      </w:r>
    </w:p>
    <w:p>
      <w:pPr>
        <w:numPr>
          <w:ilvl w:val="0"/>
          <w:numId w:val="1"/>
        </w:numPr>
        <w:tabs>
          <w:tab w:val="left" w:pos="1260"/>
          <w:tab w:val="clear" w:pos="2877"/>
        </w:tabs>
        <w:spacing w:line="400" w:lineRule="exact"/>
        <w:ind w:left="-120" w:leftChars="0" w:firstLine="480" w:firstLineChars="0"/>
        <w:rPr>
          <w:rFonts w:hint="eastAsia" w:ascii="仿宋" w:hAnsi="仿宋" w:eastAsia="仿宋"/>
          <w:sz w:val="24"/>
        </w:rPr>
      </w:pPr>
      <w:r>
        <w:rPr>
          <w:rFonts w:hint="eastAsia" w:ascii="仿宋" w:hAnsi="仿宋" w:eastAsia="仿宋"/>
          <w:sz w:val="24"/>
        </w:rPr>
        <w:t>学费标准：普通类专业5000元/生·学年，特殊类专业5500元/生·学年；住宿费：6人间700元/生·学年；8人间600元/生·学年。各专业收费标准详见《</w:t>
      </w:r>
      <w:r>
        <w:rPr>
          <w:rFonts w:hint="eastAsia" w:ascii="仿宋" w:hAnsi="仿宋" w:eastAsia="仿宋"/>
          <w:sz w:val="24"/>
          <w:lang w:eastAsia="zh-CN"/>
        </w:rPr>
        <w:t>2024</w:t>
      </w:r>
      <w:r>
        <w:rPr>
          <w:rFonts w:hint="eastAsia" w:ascii="仿宋" w:hAnsi="仿宋" w:eastAsia="仿宋"/>
          <w:sz w:val="24"/>
        </w:rPr>
        <w:t>年天津市</w:t>
      </w:r>
      <w:r>
        <w:rPr>
          <w:rFonts w:hint="eastAsia" w:ascii="仿宋" w:hAnsi="仿宋" w:eastAsia="仿宋"/>
          <w:sz w:val="24"/>
          <w:lang w:eastAsia="zh-CN"/>
        </w:rPr>
        <w:t>分类考试</w:t>
      </w:r>
      <w:r>
        <w:rPr>
          <w:rFonts w:hint="eastAsia" w:ascii="仿宋" w:hAnsi="仿宋" w:eastAsia="仿宋"/>
          <w:sz w:val="24"/>
        </w:rPr>
        <w:t>招收普通高中毕业生计划》。如政府对当年度学费、住宿费标准进行调整，按政府规定的标准执行。</w:t>
      </w:r>
    </w:p>
    <w:p>
      <w:pPr>
        <w:spacing w:beforeLines="50" w:afterLines="50" w:line="440" w:lineRule="exact"/>
        <w:jc w:val="center"/>
        <w:rPr>
          <w:rFonts w:ascii="黑体" w:hAnsi="黑体" w:eastAsia="黑体"/>
          <w:sz w:val="30"/>
          <w:szCs w:val="30"/>
        </w:rPr>
      </w:pPr>
      <w:r>
        <w:rPr>
          <w:rFonts w:ascii="黑体" w:hAnsi="黑体" w:eastAsia="黑体"/>
          <w:sz w:val="30"/>
          <w:szCs w:val="30"/>
        </w:rPr>
        <w:t>第</w:t>
      </w:r>
      <w:r>
        <w:rPr>
          <w:rFonts w:hint="eastAsia" w:ascii="黑体" w:hAnsi="黑体" w:eastAsia="黑体"/>
          <w:sz w:val="30"/>
          <w:szCs w:val="30"/>
        </w:rPr>
        <w:t>四</w:t>
      </w:r>
      <w:r>
        <w:rPr>
          <w:rFonts w:ascii="黑体" w:hAnsi="黑体" w:eastAsia="黑体"/>
          <w:sz w:val="30"/>
          <w:szCs w:val="30"/>
        </w:rPr>
        <w:t>章  录取原则</w:t>
      </w:r>
    </w:p>
    <w:p>
      <w:pPr>
        <w:numPr>
          <w:ilvl w:val="0"/>
          <w:numId w:val="1"/>
        </w:numPr>
        <w:tabs>
          <w:tab w:val="left" w:pos="1260"/>
          <w:tab w:val="clear" w:pos="2877"/>
        </w:tabs>
        <w:spacing w:line="400" w:lineRule="exact"/>
        <w:ind w:left="-120" w:leftChars="0" w:firstLine="480" w:firstLineChars="0"/>
        <w:rPr>
          <w:rFonts w:hint="eastAsia" w:ascii="仿宋" w:hAnsi="仿宋" w:eastAsia="仿宋"/>
          <w:sz w:val="24"/>
        </w:rPr>
      </w:pPr>
      <w:r>
        <w:rPr>
          <w:rFonts w:hint="eastAsia" w:ascii="仿宋" w:hAnsi="仿宋" w:eastAsia="仿宋"/>
          <w:sz w:val="24"/>
        </w:rPr>
        <w:t>学院录取工作遵循公平竞争、公正选拔、公开程序的原则，执行教育部和天津市招生委员会的录取政策及本章程公布的有关规定。录取过程中，自觉接受天津市招生委员会、纪检监察部门、考生和社会各界的监督。</w:t>
      </w:r>
    </w:p>
    <w:p>
      <w:pPr>
        <w:numPr>
          <w:ilvl w:val="0"/>
          <w:numId w:val="1"/>
        </w:numPr>
        <w:tabs>
          <w:tab w:val="left" w:pos="1260"/>
          <w:tab w:val="clear" w:pos="2877"/>
        </w:tabs>
        <w:spacing w:line="400" w:lineRule="exact"/>
        <w:ind w:left="-120" w:leftChars="0" w:firstLine="480" w:firstLineChars="0"/>
        <w:rPr>
          <w:rFonts w:hint="eastAsia" w:ascii="仿宋" w:hAnsi="仿宋" w:eastAsia="仿宋"/>
          <w:sz w:val="24"/>
        </w:rPr>
      </w:pPr>
      <w:bookmarkStart w:id="0" w:name="OLE_LINK1"/>
      <w:bookmarkStart w:id="1" w:name="OLE_LINK2"/>
      <w:r>
        <w:rPr>
          <w:rFonts w:hint="eastAsia" w:ascii="仿宋" w:hAnsi="仿宋" w:eastAsia="仿宋"/>
          <w:sz w:val="24"/>
        </w:rPr>
        <w:t>录取时</w:t>
      </w:r>
      <w:r>
        <w:rPr>
          <w:rFonts w:hint="eastAsia" w:ascii="仿宋" w:hAnsi="仿宋" w:eastAsia="仿宋"/>
          <w:sz w:val="24"/>
          <w:lang w:eastAsia="zh-CN"/>
        </w:rPr>
        <w:t>，</w:t>
      </w:r>
      <w:r>
        <w:rPr>
          <w:rFonts w:hint="eastAsia" w:ascii="仿宋" w:hAnsi="仿宋" w:eastAsia="仿宋"/>
          <w:sz w:val="24"/>
        </w:rPr>
        <w:t>以考生</w:t>
      </w:r>
      <w:r>
        <w:rPr>
          <w:rFonts w:hint="eastAsia" w:ascii="仿宋" w:hAnsi="仿宋" w:eastAsia="仿宋"/>
          <w:sz w:val="24"/>
          <w:lang w:eastAsia="zh-CN"/>
        </w:rPr>
        <w:t>的技术、综合能力考试成绩和</w:t>
      </w:r>
      <w:r>
        <w:rPr>
          <w:rFonts w:hint="eastAsia" w:ascii="仿宋" w:hAnsi="仿宋" w:eastAsia="仿宋"/>
          <w:sz w:val="24"/>
        </w:rPr>
        <w:t>普通高中学业水平考试成绩为主要依据，参考学生综合素质评价</w:t>
      </w:r>
      <w:r>
        <w:rPr>
          <w:rFonts w:hint="eastAsia" w:ascii="仿宋" w:hAnsi="仿宋" w:eastAsia="仿宋"/>
          <w:sz w:val="24"/>
          <w:lang w:eastAsia="zh-CN"/>
        </w:rPr>
        <w:t>信息</w:t>
      </w:r>
      <w:r>
        <w:rPr>
          <w:rFonts w:hint="eastAsia" w:ascii="仿宋" w:hAnsi="仿宋" w:eastAsia="仿宋"/>
          <w:sz w:val="24"/>
        </w:rPr>
        <w:t>，综合评价、择优录取。考生的语文、数学、外语、物理、化学、生物</w:t>
      </w:r>
      <w:r>
        <w:rPr>
          <w:rFonts w:hint="eastAsia" w:ascii="仿宋" w:hAnsi="仿宋" w:eastAsia="仿宋"/>
          <w:sz w:val="24"/>
          <w:lang w:eastAsia="zh-CN"/>
        </w:rPr>
        <w:t>学</w:t>
      </w:r>
      <w:r>
        <w:rPr>
          <w:rFonts w:hint="eastAsia" w:ascii="仿宋" w:hAnsi="仿宋" w:eastAsia="仿宋"/>
          <w:sz w:val="24"/>
        </w:rPr>
        <w:t>、</w:t>
      </w:r>
      <w:r>
        <w:rPr>
          <w:rFonts w:hint="eastAsia" w:ascii="仿宋" w:hAnsi="仿宋" w:eastAsia="仿宋"/>
          <w:sz w:val="24"/>
          <w:lang w:eastAsia="zh-CN"/>
        </w:rPr>
        <w:t>思想</w:t>
      </w:r>
      <w:r>
        <w:rPr>
          <w:rFonts w:hint="eastAsia" w:ascii="仿宋" w:hAnsi="仿宋" w:eastAsia="仿宋"/>
          <w:sz w:val="24"/>
        </w:rPr>
        <w:t>政治、历史、地理9个科目的普通高中学业水平</w:t>
      </w:r>
      <w:r>
        <w:rPr>
          <w:rFonts w:hint="eastAsia" w:ascii="仿宋" w:hAnsi="仿宋" w:eastAsia="仿宋"/>
          <w:sz w:val="24"/>
          <w:lang w:eastAsia="zh-CN"/>
        </w:rPr>
        <w:t>合格性</w:t>
      </w:r>
      <w:r>
        <w:rPr>
          <w:rFonts w:hint="eastAsia" w:ascii="仿宋" w:hAnsi="仿宋" w:eastAsia="仿宋"/>
          <w:sz w:val="24"/>
        </w:rPr>
        <w:t>考试成绩以绩点方式进行换算 (单科成绩按照合格等第计为20分、不合格等第不计分），与“技术”、“综合能力”考试成绩一起计入录取总分。</w:t>
      </w:r>
      <w:bookmarkEnd w:id="0"/>
      <w:bookmarkEnd w:id="1"/>
    </w:p>
    <w:p>
      <w:pPr>
        <w:numPr>
          <w:ilvl w:val="0"/>
          <w:numId w:val="1"/>
        </w:numPr>
        <w:tabs>
          <w:tab w:val="left" w:pos="-1080"/>
          <w:tab w:val="left" w:pos="1470"/>
          <w:tab w:val="clear" w:pos="2877"/>
        </w:tabs>
        <w:spacing w:line="400" w:lineRule="exact"/>
        <w:ind w:left="-120" w:leftChars="0" w:firstLine="540" w:firstLineChars="0"/>
        <w:rPr>
          <w:rFonts w:hint="eastAsia" w:ascii="仿宋" w:hAnsi="仿宋" w:eastAsia="仿宋"/>
          <w:sz w:val="24"/>
        </w:rPr>
      </w:pPr>
      <w:r>
        <w:rPr>
          <w:rFonts w:hint="eastAsia" w:ascii="仿宋" w:hAnsi="仿宋" w:eastAsia="仿宋"/>
          <w:sz w:val="24"/>
          <w:lang w:val="en-US" w:eastAsia="zh-CN"/>
        </w:rPr>
        <w:t xml:space="preserve"> </w:t>
      </w:r>
      <w:r>
        <w:rPr>
          <w:rFonts w:hint="eastAsia" w:ascii="仿宋" w:hAnsi="仿宋" w:eastAsia="仿宋"/>
          <w:sz w:val="24"/>
        </w:rPr>
        <w:t>录取照顾政策按照</w:t>
      </w:r>
      <w:r>
        <w:rPr>
          <w:rFonts w:hint="eastAsia" w:ascii="仿宋" w:hAnsi="仿宋" w:eastAsia="仿宋"/>
          <w:color w:val="auto"/>
          <w:sz w:val="24"/>
        </w:rPr>
        <w:t>《</w:t>
      </w:r>
      <w:r>
        <w:rPr>
          <w:rFonts w:hint="eastAsia" w:ascii="仿宋" w:hAnsi="仿宋" w:eastAsia="仿宋"/>
          <w:color w:val="auto"/>
          <w:sz w:val="24"/>
          <w:lang w:val="en-US" w:eastAsia="zh-CN"/>
        </w:rPr>
        <w:t>2024年天津市高职院校</w:t>
      </w:r>
      <w:r>
        <w:rPr>
          <w:rFonts w:hint="default" w:ascii="仿宋" w:hAnsi="仿宋" w:eastAsia="仿宋"/>
          <w:color w:val="auto"/>
          <w:sz w:val="24"/>
          <w:lang w:val="en-US" w:eastAsia="zh-CN"/>
        </w:rPr>
        <w:t>分类考试招生实施办法</w:t>
      </w:r>
      <w:r>
        <w:rPr>
          <w:rFonts w:hint="eastAsia" w:ascii="仿宋" w:hAnsi="仿宋" w:eastAsia="仿宋"/>
          <w:color w:val="auto"/>
          <w:sz w:val="24"/>
        </w:rPr>
        <w:t>》（</w:t>
      </w:r>
      <w:r>
        <w:rPr>
          <w:rFonts w:hint="default" w:ascii="仿宋" w:hAnsi="仿宋" w:eastAsia="仿宋"/>
          <w:color w:val="auto"/>
          <w:sz w:val="24"/>
          <w:lang w:val="en-US" w:eastAsia="zh-CN"/>
        </w:rPr>
        <w:t>津招办高发〔2022〕14 号</w:t>
      </w:r>
      <w:r>
        <w:rPr>
          <w:rFonts w:hint="eastAsia" w:ascii="仿宋" w:hAnsi="仿宋" w:eastAsia="仿宋"/>
          <w:color w:val="auto"/>
          <w:sz w:val="24"/>
        </w:rPr>
        <w:t>）的相关规定执</w:t>
      </w:r>
      <w:r>
        <w:rPr>
          <w:rFonts w:hint="eastAsia" w:ascii="仿宋" w:hAnsi="仿宋" w:eastAsia="仿宋"/>
          <w:sz w:val="24"/>
        </w:rPr>
        <w:t>行</w:t>
      </w:r>
      <w:r>
        <w:rPr>
          <w:rFonts w:ascii="仿宋" w:hAnsi="仿宋" w:eastAsia="仿宋"/>
          <w:sz w:val="24"/>
        </w:rPr>
        <w:t>。</w:t>
      </w:r>
    </w:p>
    <w:p>
      <w:pPr>
        <w:numPr>
          <w:ilvl w:val="0"/>
          <w:numId w:val="1"/>
        </w:numPr>
        <w:tabs>
          <w:tab w:val="left" w:pos="-1080"/>
          <w:tab w:val="left" w:pos="1470"/>
          <w:tab w:val="clear" w:pos="2877"/>
        </w:tabs>
        <w:spacing w:line="400" w:lineRule="exact"/>
        <w:ind w:left="-120" w:leftChars="0" w:firstLine="540" w:firstLineChars="0"/>
        <w:rPr>
          <w:rFonts w:hint="eastAsia" w:ascii="仿宋" w:hAnsi="仿宋" w:eastAsia="仿宋"/>
          <w:sz w:val="24"/>
          <w:lang w:val="en-US" w:eastAsia="zh-CN"/>
        </w:rPr>
      </w:pPr>
      <w:r>
        <w:rPr>
          <w:rFonts w:hint="eastAsia" w:ascii="仿宋" w:hAnsi="仿宋" w:eastAsia="仿宋"/>
          <w:sz w:val="24"/>
          <w:lang w:val="en-US" w:eastAsia="zh-CN"/>
        </w:rPr>
        <w:t>专业录取分数优先。对投档考生按高分到低分排队，依次按照考生填报的专业志愿顺序录取。在考生所报专业志愿均未被录取情况下，对服从专业调剂者，可调到未录满专业；对不服从调剂者，作退档处理。专业志愿不设分数级差。</w:t>
      </w:r>
    </w:p>
    <w:p>
      <w:pPr>
        <w:numPr>
          <w:ilvl w:val="0"/>
          <w:numId w:val="1"/>
        </w:numPr>
        <w:tabs>
          <w:tab w:val="left" w:pos="-1080"/>
          <w:tab w:val="left" w:pos="1470"/>
          <w:tab w:val="clear" w:pos="2877"/>
        </w:tabs>
        <w:spacing w:line="400" w:lineRule="exact"/>
        <w:ind w:left="-120" w:leftChars="0" w:firstLine="540" w:firstLineChars="0"/>
        <w:rPr>
          <w:rFonts w:hint="eastAsia" w:ascii="仿宋" w:hAnsi="仿宋" w:eastAsia="仿宋"/>
          <w:sz w:val="24"/>
          <w:lang w:val="en-US" w:eastAsia="zh-CN"/>
        </w:rPr>
      </w:pPr>
      <w:r>
        <w:rPr>
          <w:rFonts w:hint="eastAsia" w:ascii="仿宋" w:hAnsi="仿宋" w:eastAsia="仿宋"/>
          <w:sz w:val="24"/>
          <w:lang w:val="en-US" w:eastAsia="zh-CN"/>
        </w:rPr>
        <w:t>学院各专业的公共外语课程均为英语，小语种考生慎重填报。</w:t>
      </w:r>
    </w:p>
    <w:p>
      <w:pPr>
        <w:numPr>
          <w:ilvl w:val="0"/>
          <w:numId w:val="1"/>
        </w:numPr>
        <w:tabs>
          <w:tab w:val="left" w:pos="-1080"/>
          <w:tab w:val="left" w:pos="1470"/>
          <w:tab w:val="clear" w:pos="2877"/>
        </w:tabs>
        <w:spacing w:line="400" w:lineRule="exact"/>
        <w:ind w:left="-120" w:leftChars="0" w:firstLine="540" w:firstLineChars="0"/>
        <w:rPr>
          <w:rFonts w:hint="eastAsia" w:ascii="仿宋" w:hAnsi="仿宋" w:eastAsia="仿宋"/>
          <w:sz w:val="24"/>
          <w:lang w:val="en-US" w:eastAsia="zh-CN"/>
        </w:rPr>
      </w:pPr>
      <w:r>
        <w:rPr>
          <w:rFonts w:hint="eastAsia" w:ascii="仿宋" w:hAnsi="仿宋" w:eastAsia="仿宋"/>
          <w:sz w:val="24"/>
          <w:lang w:val="en-US" w:eastAsia="zh-CN"/>
        </w:rPr>
        <w:t>当若干考生考试总成绩相同时，将按照技术、综合能力的单科成绩由高到低顺序录取。</w:t>
      </w:r>
    </w:p>
    <w:p>
      <w:pPr>
        <w:numPr>
          <w:ilvl w:val="0"/>
          <w:numId w:val="1"/>
        </w:numPr>
        <w:tabs>
          <w:tab w:val="left" w:pos="-1080"/>
          <w:tab w:val="left" w:pos="1470"/>
          <w:tab w:val="clear" w:pos="2877"/>
        </w:tabs>
        <w:spacing w:line="400" w:lineRule="exact"/>
        <w:ind w:left="-120" w:leftChars="0" w:firstLine="540" w:firstLineChars="0"/>
        <w:rPr>
          <w:rFonts w:hint="eastAsia" w:ascii="仿宋" w:hAnsi="仿宋" w:eastAsia="仿宋"/>
          <w:color w:val="auto"/>
          <w:sz w:val="24"/>
          <w:u w:val="none"/>
          <w:lang w:val="en-US" w:eastAsia="zh-CN"/>
        </w:rPr>
      </w:pPr>
      <w:bookmarkStart w:id="2" w:name="_GoBack"/>
      <w:r>
        <w:rPr>
          <w:rFonts w:hint="eastAsia" w:ascii="仿宋" w:hAnsi="仿宋" w:eastAsia="仿宋"/>
          <w:color w:val="auto"/>
          <w:sz w:val="24"/>
          <w:u w:val="none"/>
          <w:lang w:val="en-US" w:eastAsia="zh-CN"/>
        </w:rPr>
        <w:t>拟报考我院且符合退役士兵免试文化素质考试条件的考生，请务必在学院公布招生计划后及时与学院招生办公室联系，参加我院组织的与报考专业相关的职业适应性面试或技能测试。</w:t>
      </w:r>
    </w:p>
    <w:bookmarkEnd w:id="2"/>
    <w:p>
      <w:pPr>
        <w:numPr>
          <w:ilvl w:val="0"/>
          <w:numId w:val="1"/>
        </w:numPr>
        <w:tabs>
          <w:tab w:val="left" w:pos="-1080"/>
          <w:tab w:val="left" w:pos="1470"/>
          <w:tab w:val="clear" w:pos="2877"/>
        </w:tabs>
        <w:spacing w:line="400" w:lineRule="exact"/>
        <w:ind w:left="-120" w:leftChars="0" w:firstLine="540" w:firstLineChars="0"/>
        <w:rPr>
          <w:rFonts w:hint="eastAsia" w:ascii="仿宋" w:hAnsi="仿宋" w:eastAsia="仿宋"/>
          <w:sz w:val="24"/>
          <w:lang w:val="en-US" w:eastAsia="zh-CN"/>
        </w:rPr>
      </w:pPr>
      <w:r>
        <w:rPr>
          <w:rFonts w:hint="eastAsia" w:ascii="仿宋" w:hAnsi="仿宋" w:eastAsia="仿宋"/>
          <w:sz w:val="24"/>
          <w:lang w:val="en-US" w:eastAsia="zh-CN"/>
        </w:rPr>
        <w:t>高速铁路综合维修技术、动车组检修技术、铁道机车运用与维护、铁道车辆技术、铁道供电技术、高速铁路动车组制造与维护、城市轨道车辆应用技术、城市轨道交通供配电技术等专业建议考生无色盲色弱，矫正视力不低于4.8(以上专业对口用人单位只招录男生)。</w:t>
      </w:r>
    </w:p>
    <w:p>
      <w:pPr>
        <w:numPr>
          <w:ilvl w:val="0"/>
          <w:numId w:val="1"/>
        </w:numPr>
        <w:tabs>
          <w:tab w:val="left" w:pos="-1080"/>
          <w:tab w:val="left" w:pos="1470"/>
          <w:tab w:val="clear" w:pos="2877"/>
        </w:tabs>
        <w:spacing w:line="400" w:lineRule="exact"/>
        <w:ind w:left="-120" w:leftChars="0" w:firstLine="540" w:firstLineChars="0"/>
        <w:rPr>
          <w:rFonts w:hint="eastAsia" w:ascii="仿宋" w:hAnsi="仿宋" w:eastAsia="仿宋"/>
          <w:sz w:val="24"/>
          <w:lang w:val="en-US" w:eastAsia="zh-CN"/>
        </w:rPr>
      </w:pPr>
      <w:r>
        <w:rPr>
          <w:rFonts w:hint="eastAsia" w:ascii="仿宋" w:hAnsi="仿宋" w:eastAsia="仿宋"/>
          <w:sz w:val="24"/>
          <w:lang w:val="en-US" w:eastAsia="zh-CN"/>
        </w:rPr>
        <w:t>铁道工程技术、铁道养路机械应用技术、高速铁路施工与维护、铁道信号自动控制、铁路物流管理、铁道通信与信息化技术、现代通信技术、城市轨道交通通信信号技术、城市轨道交通工程技术、电气自动化技术、城市轨道交通车辆制造与维护等专业建议考生无色盲色弱，矫正视力不低于4.8(以上专业适合男生报考)。</w:t>
      </w:r>
    </w:p>
    <w:p>
      <w:pPr>
        <w:numPr>
          <w:ilvl w:val="0"/>
          <w:numId w:val="1"/>
        </w:numPr>
        <w:tabs>
          <w:tab w:val="left" w:pos="-1080"/>
          <w:tab w:val="left" w:pos="1470"/>
          <w:tab w:val="clear" w:pos="2877"/>
        </w:tabs>
        <w:spacing w:line="400" w:lineRule="exact"/>
        <w:ind w:left="-120" w:leftChars="0" w:firstLine="540" w:firstLineChars="0"/>
        <w:rPr>
          <w:rFonts w:hint="eastAsia" w:ascii="仿宋" w:hAnsi="仿宋" w:eastAsia="仿宋"/>
          <w:sz w:val="24"/>
          <w:lang w:val="en-US" w:eastAsia="zh-CN"/>
        </w:rPr>
      </w:pPr>
      <w:r>
        <w:rPr>
          <w:rFonts w:hint="eastAsia" w:ascii="仿宋" w:hAnsi="仿宋" w:eastAsia="仿宋"/>
          <w:sz w:val="24"/>
          <w:lang w:val="en-US" w:eastAsia="zh-CN"/>
        </w:rPr>
        <w:t>铁道桥梁隧道工程技术、智能建造技术、工程测量技术等专业建议考生无色盲色弱，矫正视力不低于4.8。</w:t>
      </w:r>
    </w:p>
    <w:p>
      <w:pPr>
        <w:numPr>
          <w:ilvl w:val="0"/>
          <w:numId w:val="1"/>
        </w:numPr>
        <w:tabs>
          <w:tab w:val="left" w:pos="-1080"/>
          <w:tab w:val="left" w:pos="1470"/>
          <w:tab w:val="clear" w:pos="2877"/>
        </w:tabs>
        <w:spacing w:line="400" w:lineRule="exact"/>
        <w:ind w:left="-120" w:leftChars="0" w:firstLine="540" w:firstLineChars="0"/>
        <w:rPr>
          <w:rFonts w:hint="eastAsia" w:ascii="仿宋" w:hAnsi="仿宋" w:eastAsia="仿宋"/>
          <w:sz w:val="24"/>
          <w:lang w:val="en-US" w:eastAsia="zh-CN"/>
        </w:rPr>
      </w:pPr>
      <w:r>
        <w:rPr>
          <w:rFonts w:hint="eastAsia" w:ascii="仿宋" w:hAnsi="仿宋" w:eastAsia="仿宋"/>
          <w:sz w:val="24"/>
          <w:lang w:val="en-US" w:eastAsia="zh-CN"/>
        </w:rPr>
        <w:t>铁道交通运营管理、城市轨道交通运营管理等专业建议考生身高男生不低于174厘米，女生不低于165厘米，无色盲色弱，矫正视力不低于4.8(以上专业对口用人单位招录男生比例高于女生)。</w:t>
      </w:r>
    </w:p>
    <w:p>
      <w:pPr>
        <w:numPr>
          <w:ilvl w:val="0"/>
          <w:numId w:val="1"/>
        </w:numPr>
        <w:tabs>
          <w:tab w:val="left" w:pos="-1080"/>
          <w:tab w:val="left" w:pos="1470"/>
          <w:tab w:val="clear" w:pos="2877"/>
        </w:tabs>
        <w:spacing w:line="400" w:lineRule="exact"/>
        <w:ind w:left="-120" w:leftChars="0" w:firstLine="540" w:firstLineChars="0"/>
        <w:rPr>
          <w:rFonts w:hint="eastAsia" w:ascii="仿宋" w:hAnsi="仿宋" w:eastAsia="仿宋"/>
          <w:sz w:val="24"/>
          <w:lang w:val="en-US" w:eastAsia="zh-CN"/>
        </w:rPr>
      </w:pPr>
      <w:r>
        <w:rPr>
          <w:rFonts w:hint="eastAsia" w:ascii="仿宋" w:hAnsi="仿宋" w:eastAsia="仿宋"/>
          <w:sz w:val="24"/>
          <w:lang w:val="en-US" w:eastAsia="zh-CN"/>
        </w:rPr>
        <w:t>关于录取专业对身体健康要求，执行教育部、原卫生部、中国残疾人联合会颁布的《普通高等学校招生体检工作指导意见》</w:t>
      </w:r>
      <w:r>
        <w:rPr>
          <w:rFonts w:hint="eastAsia" w:ascii="仿宋" w:hAnsi="仿宋" w:eastAsia="仿宋" w:cs="Times New Roman"/>
          <w:sz w:val="24"/>
          <w:lang w:val="en-US" w:eastAsia="zh-CN"/>
        </w:rPr>
        <w:t>（教学〔</w:t>
      </w:r>
      <w:r>
        <w:rPr>
          <w:rFonts w:hint="default" w:ascii="仿宋" w:hAnsi="仿宋" w:eastAsia="仿宋" w:cs="Times New Roman"/>
          <w:sz w:val="24"/>
          <w:lang w:val="en-US" w:eastAsia="zh-CN"/>
        </w:rPr>
        <w:t>2003</w:t>
      </w:r>
      <w:r>
        <w:rPr>
          <w:rFonts w:hint="eastAsia" w:ascii="仿宋" w:hAnsi="仿宋" w:eastAsia="仿宋" w:cs="Times New Roman"/>
          <w:sz w:val="24"/>
          <w:lang w:val="en-US" w:eastAsia="zh-CN"/>
        </w:rPr>
        <w:t>〕</w:t>
      </w:r>
      <w:r>
        <w:rPr>
          <w:rFonts w:hint="default" w:ascii="仿宋" w:hAnsi="仿宋" w:eastAsia="仿宋" w:cs="Times New Roman"/>
          <w:sz w:val="24"/>
          <w:lang w:val="en-US" w:eastAsia="zh-CN"/>
        </w:rPr>
        <w:t xml:space="preserve">3 </w:t>
      </w:r>
      <w:r>
        <w:rPr>
          <w:rFonts w:hint="eastAsia" w:ascii="仿宋" w:hAnsi="仿宋" w:eastAsia="仿宋" w:cs="Times New Roman"/>
          <w:sz w:val="24"/>
          <w:lang w:val="en-US" w:eastAsia="zh-CN"/>
        </w:rPr>
        <w:t>号）</w:t>
      </w:r>
      <w:r>
        <w:rPr>
          <w:rFonts w:hint="eastAsia" w:ascii="仿宋" w:hAnsi="仿宋" w:eastAsia="仿宋"/>
          <w:sz w:val="24"/>
          <w:lang w:val="en-US" w:eastAsia="zh-CN"/>
        </w:rPr>
        <w:t>及人力资源社会保障部、教育部、原卫生部《关于进一步规范入学和就业体检项目维护乙肝表面抗原携带者入学和就业权利的通知》</w:t>
      </w:r>
      <w:r>
        <w:rPr>
          <w:rFonts w:hint="eastAsia" w:ascii="仿宋" w:hAnsi="仿宋" w:eastAsia="仿宋" w:cs="Times New Roman"/>
          <w:sz w:val="24"/>
          <w:lang w:val="en-US" w:eastAsia="zh-CN"/>
        </w:rPr>
        <w:t>（人社部发〔</w:t>
      </w:r>
      <w:r>
        <w:rPr>
          <w:rFonts w:hint="default" w:ascii="仿宋" w:hAnsi="仿宋" w:eastAsia="仿宋" w:cs="Times New Roman"/>
          <w:sz w:val="24"/>
          <w:lang w:val="en-US" w:eastAsia="zh-CN"/>
        </w:rPr>
        <w:t>2010</w:t>
      </w:r>
      <w:r>
        <w:rPr>
          <w:rFonts w:hint="eastAsia" w:ascii="仿宋" w:hAnsi="仿宋" w:eastAsia="仿宋" w:cs="Times New Roman"/>
          <w:sz w:val="24"/>
          <w:lang w:val="en-US" w:eastAsia="zh-CN"/>
        </w:rPr>
        <w:t>〕</w:t>
      </w:r>
      <w:r>
        <w:rPr>
          <w:rFonts w:hint="default" w:ascii="仿宋" w:hAnsi="仿宋" w:eastAsia="仿宋" w:cs="Times New Roman"/>
          <w:sz w:val="24"/>
          <w:lang w:val="en-US" w:eastAsia="zh-CN"/>
        </w:rPr>
        <w:t xml:space="preserve">12 </w:t>
      </w:r>
      <w:r>
        <w:rPr>
          <w:rFonts w:hint="eastAsia" w:ascii="仿宋" w:hAnsi="仿宋" w:eastAsia="仿宋" w:cs="Times New Roman"/>
          <w:sz w:val="24"/>
          <w:lang w:val="en-US" w:eastAsia="zh-CN"/>
        </w:rPr>
        <w:t>号）的</w:t>
      </w:r>
      <w:r>
        <w:rPr>
          <w:rFonts w:hint="eastAsia" w:ascii="仿宋" w:hAnsi="仿宋" w:eastAsia="仿宋"/>
          <w:sz w:val="24"/>
          <w:lang w:val="en-US" w:eastAsia="zh-CN"/>
        </w:rPr>
        <w:t>要求。</w:t>
      </w:r>
    </w:p>
    <w:p>
      <w:pPr>
        <w:numPr>
          <w:ilvl w:val="0"/>
          <w:numId w:val="1"/>
        </w:numPr>
        <w:tabs>
          <w:tab w:val="left" w:pos="-1080"/>
          <w:tab w:val="left" w:pos="1470"/>
          <w:tab w:val="clear" w:pos="2877"/>
        </w:tabs>
        <w:spacing w:line="400" w:lineRule="exact"/>
        <w:ind w:left="-120" w:leftChars="0" w:firstLine="540" w:firstLineChars="0"/>
        <w:rPr>
          <w:rFonts w:hint="eastAsia" w:ascii="仿宋" w:hAnsi="仿宋" w:eastAsia="仿宋"/>
          <w:sz w:val="24"/>
          <w:lang w:val="en-US" w:eastAsia="zh-CN"/>
        </w:rPr>
      </w:pPr>
      <w:r>
        <w:rPr>
          <w:rFonts w:hint="eastAsia" w:ascii="仿宋" w:hAnsi="仿宋" w:eastAsia="仿宋"/>
          <w:sz w:val="24"/>
          <w:lang w:val="en-US" w:eastAsia="zh-CN"/>
        </w:rPr>
        <w:t>学院在接到天津市招生委员会核准备案的录取考生名单后以特快专递的方式寄发通知书，录取结果同时在学院招生网站上公布。</w:t>
      </w:r>
    </w:p>
    <w:p>
      <w:pPr>
        <w:spacing w:beforeLines="50" w:afterLines="50" w:line="440" w:lineRule="exact"/>
        <w:jc w:val="center"/>
        <w:rPr>
          <w:rFonts w:ascii="黑体" w:hAnsi="黑体" w:eastAsia="黑体"/>
          <w:sz w:val="30"/>
          <w:szCs w:val="30"/>
        </w:rPr>
      </w:pPr>
      <w:r>
        <w:rPr>
          <w:rFonts w:hint="eastAsia" w:ascii="黑体" w:hAnsi="黑体" w:eastAsia="黑体"/>
          <w:sz w:val="30"/>
          <w:szCs w:val="30"/>
        </w:rPr>
        <w:t xml:space="preserve">第五章   </w:t>
      </w:r>
      <w:r>
        <w:rPr>
          <w:rFonts w:ascii="黑体" w:hAnsi="黑体" w:eastAsia="黑体"/>
          <w:sz w:val="30"/>
          <w:szCs w:val="30"/>
        </w:rPr>
        <w:t>后续管理</w:t>
      </w:r>
    </w:p>
    <w:p>
      <w:pPr>
        <w:numPr>
          <w:ilvl w:val="0"/>
          <w:numId w:val="1"/>
        </w:numPr>
        <w:tabs>
          <w:tab w:val="left" w:pos="-1080"/>
          <w:tab w:val="left" w:pos="1470"/>
          <w:tab w:val="clear" w:pos="2877"/>
        </w:tabs>
        <w:spacing w:line="400" w:lineRule="exact"/>
        <w:ind w:left="-120" w:leftChars="0" w:firstLine="540" w:firstLineChars="0"/>
        <w:rPr>
          <w:rFonts w:ascii="仿宋" w:hAnsi="仿宋" w:eastAsia="仿宋"/>
          <w:sz w:val="24"/>
        </w:rPr>
      </w:pPr>
      <w:r>
        <w:rPr>
          <w:rFonts w:ascii="仿宋" w:hAnsi="仿宋" w:eastAsia="仿宋"/>
          <w:sz w:val="24"/>
        </w:rPr>
        <w:t>新生录取后，应按照录取通知书规定时间按时到校报到，报到之日起15日内不报到且未履行请假手续视为自动放弃入学资格。</w:t>
      </w:r>
    </w:p>
    <w:p>
      <w:pPr>
        <w:numPr>
          <w:ilvl w:val="0"/>
          <w:numId w:val="1"/>
        </w:numPr>
        <w:tabs>
          <w:tab w:val="left" w:pos="-1080"/>
          <w:tab w:val="left" w:pos="1470"/>
          <w:tab w:val="clear" w:pos="2877"/>
        </w:tabs>
        <w:spacing w:line="400" w:lineRule="exact"/>
        <w:ind w:left="-120" w:leftChars="0" w:firstLine="540" w:firstLineChars="0"/>
        <w:rPr>
          <w:rFonts w:ascii="仿宋" w:hAnsi="仿宋" w:eastAsia="仿宋"/>
          <w:sz w:val="24"/>
        </w:rPr>
      </w:pPr>
      <w:r>
        <w:rPr>
          <w:rFonts w:ascii="仿宋" w:hAnsi="仿宋" w:eastAsia="仿宋"/>
          <w:sz w:val="24"/>
        </w:rPr>
        <w:t>新生入学后，学院在三个月内按照国家招生规定对其进行复查。复查合格者予以注册，取得学籍。复查不合格者，由学院区别情况予以处理，直至取消入学资格。</w:t>
      </w:r>
    </w:p>
    <w:p>
      <w:pPr>
        <w:numPr>
          <w:ilvl w:val="0"/>
          <w:numId w:val="1"/>
        </w:numPr>
        <w:tabs>
          <w:tab w:val="left" w:pos="-1080"/>
          <w:tab w:val="left" w:pos="1470"/>
          <w:tab w:val="clear" w:pos="2877"/>
        </w:tabs>
        <w:spacing w:line="400" w:lineRule="exact"/>
        <w:ind w:left="-120" w:leftChars="0" w:firstLine="540" w:firstLineChars="0"/>
        <w:rPr>
          <w:rFonts w:ascii="仿宋" w:hAnsi="仿宋" w:eastAsia="仿宋"/>
          <w:sz w:val="24"/>
        </w:rPr>
      </w:pPr>
      <w:r>
        <w:rPr>
          <w:rFonts w:ascii="仿宋" w:hAnsi="仿宋" w:eastAsia="仿宋"/>
          <w:sz w:val="24"/>
        </w:rPr>
        <w:t>学院设有国家奖学金、国家励志奖学金、天津市人民政府奖学金、</w:t>
      </w:r>
      <w:r>
        <w:rPr>
          <w:rFonts w:ascii="仿宋" w:hAnsi="仿宋" w:eastAsia="仿宋"/>
          <w:color w:val="auto"/>
          <w:sz w:val="24"/>
        </w:rPr>
        <w:t>王梦恕励</w:t>
      </w:r>
      <w:r>
        <w:rPr>
          <w:rFonts w:hint="eastAsia" w:ascii="仿宋" w:hAnsi="仿宋" w:eastAsia="仿宋"/>
          <w:color w:val="auto"/>
          <w:sz w:val="24"/>
          <w:lang w:eastAsia="zh-CN"/>
        </w:rPr>
        <w:t>学</w:t>
      </w:r>
      <w:r>
        <w:rPr>
          <w:rFonts w:ascii="仿宋" w:hAnsi="仿宋" w:eastAsia="仿宋"/>
          <w:sz w:val="24"/>
        </w:rPr>
        <w:t>奖学金、国家助学金、国家助学贷款、学院奖学金和学费减免等奖助项目，并设有勤工助学岗位，帮助</w:t>
      </w:r>
      <w:r>
        <w:rPr>
          <w:rFonts w:hint="eastAsia" w:ascii="仿宋" w:hAnsi="仿宋" w:eastAsia="仿宋"/>
          <w:sz w:val="24"/>
          <w:lang w:eastAsia="zh-CN"/>
        </w:rPr>
        <w:t>家庭经济困难学生解决实际困难</w:t>
      </w:r>
      <w:r>
        <w:rPr>
          <w:rFonts w:ascii="仿宋" w:hAnsi="仿宋" w:eastAsia="仿宋"/>
          <w:sz w:val="24"/>
        </w:rPr>
        <w:t>。</w:t>
      </w:r>
    </w:p>
    <w:p>
      <w:pPr>
        <w:numPr>
          <w:ilvl w:val="0"/>
          <w:numId w:val="1"/>
        </w:numPr>
        <w:tabs>
          <w:tab w:val="left" w:pos="-1080"/>
          <w:tab w:val="left" w:pos="1470"/>
          <w:tab w:val="clear" w:pos="2877"/>
        </w:tabs>
        <w:spacing w:line="400" w:lineRule="exact"/>
        <w:ind w:left="-120" w:leftChars="0" w:firstLine="540" w:firstLineChars="0"/>
        <w:rPr>
          <w:rFonts w:ascii="仿宋" w:hAnsi="仿宋" w:eastAsia="仿宋"/>
          <w:sz w:val="24"/>
        </w:rPr>
      </w:pPr>
      <w:r>
        <w:rPr>
          <w:rFonts w:ascii="仿宋" w:hAnsi="仿宋" w:eastAsia="仿宋"/>
          <w:sz w:val="24"/>
        </w:rPr>
        <w:t>学生完成规定学业经审查达到毕业标准的，颁发天津铁道职业技术学院普通高等教育专科毕业证书。</w:t>
      </w:r>
    </w:p>
    <w:p>
      <w:pPr>
        <w:spacing w:beforeLines="50" w:afterLines="50" w:line="440" w:lineRule="exact"/>
        <w:jc w:val="center"/>
        <w:rPr>
          <w:rFonts w:ascii="黑体" w:hAnsi="黑体" w:eastAsia="黑体"/>
          <w:sz w:val="30"/>
          <w:szCs w:val="30"/>
        </w:rPr>
      </w:pPr>
      <w:r>
        <w:rPr>
          <w:rFonts w:hint="eastAsia" w:ascii="黑体" w:hAnsi="黑体" w:eastAsia="黑体"/>
          <w:sz w:val="30"/>
          <w:szCs w:val="30"/>
        </w:rPr>
        <w:t xml:space="preserve">第六章  </w:t>
      </w:r>
      <w:r>
        <w:rPr>
          <w:rFonts w:ascii="黑体" w:hAnsi="黑体" w:eastAsia="黑体"/>
          <w:sz w:val="30"/>
          <w:szCs w:val="30"/>
        </w:rPr>
        <w:t>附 则</w:t>
      </w:r>
    </w:p>
    <w:p>
      <w:pPr>
        <w:numPr>
          <w:ilvl w:val="0"/>
          <w:numId w:val="1"/>
        </w:numPr>
        <w:tabs>
          <w:tab w:val="left" w:pos="-1080"/>
          <w:tab w:val="left" w:pos="1470"/>
          <w:tab w:val="clear" w:pos="2877"/>
        </w:tabs>
        <w:spacing w:line="400" w:lineRule="exact"/>
        <w:ind w:left="-120" w:leftChars="0" w:firstLine="540" w:firstLineChars="0"/>
        <w:rPr>
          <w:rFonts w:ascii="仿宋" w:hAnsi="仿宋" w:eastAsia="仿宋"/>
          <w:sz w:val="24"/>
        </w:rPr>
      </w:pPr>
      <w:r>
        <w:rPr>
          <w:rFonts w:ascii="仿宋" w:hAnsi="仿宋" w:eastAsia="仿宋"/>
          <w:sz w:val="24"/>
        </w:rPr>
        <w:t>本章程仅适用于天津铁道职业技术学院</w:t>
      </w:r>
      <w:r>
        <w:rPr>
          <w:rFonts w:hint="eastAsia" w:ascii="仿宋" w:hAnsi="仿宋" w:eastAsia="仿宋"/>
          <w:sz w:val="24"/>
          <w:lang w:eastAsia="zh-CN"/>
        </w:rPr>
        <w:t>2024</w:t>
      </w:r>
      <w:r>
        <w:rPr>
          <w:rFonts w:ascii="仿宋" w:hAnsi="仿宋" w:eastAsia="仿宋"/>
          <w:sz w:val="24"/>
        </w:rPr>
        <w:t>年</w:t>
      </w:r>
      <w:r>
        <w:rPr>
          <w:rFonts w:hint="eastAsia" w:ascii="仿宋" w:hAnsi="仿宋" w:eastAsia="仿宋"/>
          <w:sz w:val="24"/>
          <w:lang w:eastAsia="zh-CN"/>
        </w:rPr>
        <w:t>天津市高职分类</w:t>
      </w:r>
      <w:r>
        <w:rPr>
          <w:rFonts w:hint="eastAsia" w:ascii="仿宋" w:hAnsi="仿宋" w:eastAsia="仿宋"/>
          <w:sz w:val="24"/>
        </w:rPr>
        <w:t>考试招收普通高中毕业生</w:t>
      </w:r>
      <w:r>
        <w:rPr>
          <w:rFonts w:ascii="仿宋" w:hAnsi="仿宋" w:eastAsia="仿宋"/>
          <w:sz w:val="24"/>
        </w:rPr>
        <w:t>工作。</w:t>
      </w:r>
    </w:p>
    <w:p>
      <w:pPr>
        <w:numPr>
          <w:ilvl w:val="0"/>
          <w:numId w:val="1"/>
        </w:numPr>
        <w:tabs>
          <w:tab w:val="left" w:pos="-1080"/>
          <w:tab w:val="left" w:pos="1470"/>
          <w:tab w:val="clear" w:pos="2877"/>
        </w:tabs>
        <w:spacing w:line="400" w:lineRule="exact"/>
        <w:ind w:left="-120" w:leftChars="0" w:firstLine="540" w:firstLineChars="0"/>
        <w:rPr>
          <w:rFonts w:ascii="仿宋" w:hAnsi="仿宋" w:eastAsia="仿宋"/>
          <w:sz w:val="24"/>
        </w:rPr>
      </w:pPr>
      <w:r>
        <w:rPr>
          <w:rFonts w:ascii="仿宋" w:hAnsi="仿宋" w:eastAsia="仿宋"/>
          <w:sz w:val="24"/>
        </w:rPr>
        <w:t>在招生咨询过程中，学院咨询人员的意见、建议仅作为考生填报志愿的参考，不属学院录取承诺。</w:t>
      </w:r>
    </w:p>
    <w:p>
      <w:pPr>
        <w:numPr>
          <w:ilvl w:val="0"/>
          <w:numId w:val="1"/>
        </w:numPr>
        <w:tabs>
          <w:tab w:val="left" w:pos="-1080"/>
          <w:tab w:val="left" w:pos="1470"/>
          <w:tab w:val="clear" w:pos="2877"/>
        </w:tabs>
        <w:spacing w:line="400" w:lineRule="exact"/>
        <w:ind w:left="-120" w:leftChars="0" w:firstLine="540" w:firstLineChars="0"/>
        <w:rPr>
          <w:rFonts w:ascii="仿宋" w:hAnsi="仿宋" w:eastAsia="仿宋"/>
          <w:sz w:val="24"/>
        </w:rPr>
      </w:pPr>
      <w:r>
        <w:rPr>
          <w:rFonts w:ascii="仿宋" w:hAnsi="仿宋" w:eastAsia="仿宋"/>
          <w:sz w:val="24"/>
        </w:rPr>
        <w:t>本章程由天津铁道职业技术学院招生就业</w:t>
      </w:r>
      <w:r>
        <w:rPr>
          <w:rFonts w:hint="eastAsia" w:ascii="仿宋" w:hAnsi="仿宋" w:eastAsia="仿宋"/>
          <w:sz w:val="24"/>
          <w:lang w:eastAsia="zh-CN"/>
        </w:rPr>
        <w:t>办公室</w:t>
      </w:r>
      <w:r>
        <w:rPr>
          <w:rFonts w:ascii="仿宋" w:hAnsi="仿宋" w:eastAsia="仿宋"/>
          <w:sz w:val="24"/>
        </w:rPr>
        <w:t>负责解释。</w:t>
      </w:r>
    </w:p>
    <w:p>
      <w:pPr>
        <w:numPr>
          <w:ilvl w:val="0"/>
          <w:numId w:val="1"/>
        </w:numPr>
        <w:tabs>
          <w:tab w:val="left" w:pos="-1080"/>
          <w:tab w:val="left" w:pos="1470"/>
          <w:tab w:val="clear" w:pos="2877"/>
        </w:tabs>
        <w:spacing w:line="400" w:lineRule="exact"/>
        <w:ind w:left="-120" w:leftChars="0" w:firstLine="540" w:firstLineChars="0"/>
        <w:rPr>
          <w:rFonts w:ascii="仿宋" w:hAnsi="仿宋" w:eastAsia="仿宋"/>
          <w:sz w:val="24"/>
        </w:rPr>
      </w:pPr>
      <w:r>
        <w:rPr>
          <w:rFonts w:ascii="仿宋" w:hAnsi="仿宋" w:eastAsia="仿宋"/>
          <w:sz w:val="24"/>
        </w:rPr>
        <w:t>咨询及录取结果查询方式</w:t>
      </w:r>
    </w:p>
    <w:p>
      <w:pPr>
        <w:widowControl/>
        <w:snapToGrid w:val="0"/>
        <w:spacing w:line="400" w:lineRule="exact"/>
        <w:ind w:left="2127"/>
        <w:jc w:val="left"/>
        <w:rPr>
          <w:rFonts w:ascii="仿宋" w:hAnsi="仿宋" w:eastAsia="仿宋"/>
          <w:color w:val="111111"/>
          <w:kern w:val="0"/>
          <w:sz w:val="24"/>
        </w:rPr>
      </w:pPr>
      <w:r>
        <w:rPr>
          <w:rFonts w:ascii="仿宋" w:hAnsi="仿宋" w:eastAsia="仿宋"/>
          <w:b/>
          <w:color w:val="111111"/>
          <w:kern w:val="0"/>
          <w:sz w:val="24"/>
        </w:rPr>
        <w:t>网    址</w:t>
      </w:r>
      <w:r>
        <w:rPr>
          <w:rFonts w:ascii="仿宋" w:hAnsi="仿宋" w:eastAsia="仿宋"/>
          <w:color w:val="111111"/>
          <w:kern w:val="0"/>
          <w:sz w:val="24"/>
        </w:rPr>
        <w:t>：www.tjtdxy.cn</w:t>
      </w:r>
    </w:p>
    <w:p>
      <w:pPr>
        <w:widowControl/>
        <w:snapToGrid w:val="0"/>
        <w:spacing w:line="400" w:lineRule="exact"/>
        <w:ind w:left="2127"/>
        <w:jc w:val="left"/>
        <w:rPr>
          <w:rFonts w:ascii="仿宋" w:hAnsi="仿宋" w:eastAsia="仿宋"/>
          <w:color w:val="111111"/>
          <w:kern w:val="0"/>
          <w:sz w:val="24"/>
        </w:rPr>
      </w:pPr>
      <w:r>
        <w:rPr>
          <w:rFonts w:ascii="仿宋" w:hAnsi="仿宋" w:eastAsia="仿宋"/>
          <w:b/>
          <w:color w:val="111111"/>
          <w:kern w:val="0"/>
          <w:sz w:val="24"/>
        </w:rPr>
        <w:t>电    话</w:t>
      </w:r>
      <w:r>
        <w:rPr>
          <w:rFonts w:ascii="仿宋" w:hAnsi="仿宋" w:eastAsia="仿宋"/>
          <w:color w:val="111111"/>
          <w:kern w:val="0"/>
          <w:sz w:val="24"/>
        </w:rPr>
        <w:t>：26748181   26744940   2618</w:t>
      </w:r>
      <w:r>
        <w:rPr>
          <w:rFonts w:hint="eastAsia" w:ascii="仿宋" w:hAnsi="仿宋" w:eastAsia="仿宋"/>
          <w:color w:val="111111"/>
          <w:kern w:val="0"/>
          <w:sz w:val="24"/>
        </w:rPr>
        <w:t>693</w:t>
      </w:r>
      <w:r>
        <w:rPr>
          <w:rFonts w:ascii="仿宋" w:hAnsi="仿宋" w:eastAsia="仿宋"/>
          <w:color w:val="111111"/>
          <w:kern w:val="0"/>
          <w:sz w:val="24"/>
        </w:rPr>
        <w:t>9</w:t>
      </w:r>
    </w:p>
    <w:p>
      <w:pPr>
        <w:widowControl/>
        <w:snapToGrid w:val="0"/>
        <w:spacing w:line="400" w:lineRule="exact"/>
        <w:ind w:left="2127"/>
        <w:jc w:val="left"/>
        <w:rPr>
          <w:rFonts w:ascii="仿宋" w:hAnsi="仿宋" w:eastAsia="仿宋"/>
          <w:color w:val="111111"/>
          <w:kern w:val="0"/>
          <w:sz w:val="24"/>
        </w:rPr>
      </w:pPr>
      <w:r>
        <w:rPr>
          <w:rFonts w:ascii="仿宋" w:hAnsi="仿宋" w:eastAsia="仿宋"/>
          <w:b/>
          <w:color w:val="111111"/>
          <w:kern w:val="0"/>
          <w:sz w:val="24"/>
        </w:rPr>
        <w:t>邮    编</w:t>
      </w:r>
      <w:r>
        <w:rPr>
          <w:rFonts w:ascii="仿宋" w:hAnsi="仿宋" w:eastAsia="仿宋"/>
          <w:color w:val="111111"/>
          <w:kern w:val="0"/>
          <w:sz w:val="24"/>
        </w:rPr>
        <w:t>：300240</w:t>
      </w:r>
    </w:p>
    <w:p>
      <w:pPr>
        <w:widowControl/>
        <w:snapToGrid w:val="0"/>
        <w:spacing w:line="400" w:lineRule="exact"/>
        <w:ind w:left="2127"/>
        <w:jc w:val="left"/>
        <w:rPr>
          <w:rFonts w:ascii="仿宋" w:hAnsi="仿宋" w:eastAsia="仿宋"/>
          <w:color w:val="000000"/>
          <w:kern w:val="0"/>
          <w:sz w:val="24"/>
        </w:rPr>
      </w:pPr>
      <w:r>
        <w:rPr>
          <w:rFonts w:ascii="仿宋" w:hAnsi="仿宋" w:eastAsia="仿宋"/>
          <w:b/>
          <w:color w:val="000000"/>
          <w:kern w:val="0"/>
          <w:sz w:val="24"/>
        </w:rPr>
        <w:t>地    址</w:t>
      </w:r>
      <w:r>
        <w:rPr>
          <w:rFonts w:ascii="仿宋" w:hAnsi="仿宋" w:eastAsia="仿宋"/>
          <w:color w:val="000000"/>
          <w:kern w:val="0"/>
          <w:sz w:val="24"/>
        </w:rPr>
        <w:t>：天津市河北区建昌道21号</w:t>
      </w:r>
    </w:p>
    <w:p>
      <w:pPr>
        <w:widowControl/>
        <w:snapToGrid w:val="0"/>
        <w:spacing w:line="400" w:lineRule="exact"/>
        <w:ind w:left="2125" w:leftChars="1012"/>
        <w:jc w:val="left"/>
        <w:rPr>
          <w:rFonts w:hint="eastAsia" w:ascii="仿宋" w:hAnsi="仿宋" w:eastAsia="仿宋"/>
          <w:color w:val="000000"/>
          <w:kern w:val="0"/>
          <w:sz w:val="24"/>
        </w:rPr>
      </w:pPr>
      <w:r>
        <w:rPr>
          <w:rFonts w:hint="eastAsia" w:ascii="仿宋" w:hAnsi="仿宋" w:eastAsia="仿宋"/>
          <w:b/>
          <w:color w:val="000000"/>
          <w:kern w:val="0"/>
          <w:sz w:val="24"/>
        </w:rPr>
        <w:t>监督举报电话：</w:t>
      </w:r>
      <w:r>
        <w:rPr>
          <w:rFonts w:hint="eastAsia" w:ascii="仿宋" w:hAnsi="仿宋" w:eastAsia="仿宋"/>
          <w:color w:val="000000"/>
          <w:kern w:val="0"/>
          <w:sz w:val="24"/>
        </w:rPr>
        <w:t>26186927</w:t>
      </w:r>
    </w:p>
    <w:p>
      <w:pPr>
        <w:spacing w:line="400" w:lineRule="exact"/>
        <w:ind w:firstLine="542" w:firstLineChars="225"/>
        <w:jc w:val="left"/>
        <w:rPr>
          <w:rFonts w:hint="eastAsia" w:eastAsia="仿宋_GB2312"/>
          <w:b/>
          <w:sz w:val="24"/>
          <w:lang w:eastAsia="zh-CN"/>
        </w:rPr>
      </w:pPr>
    </w:p>
    <w:p>
      <w:pPr>
        <w:bidi w:val="0"/>
        <w:rPr>
          <w:lang w:val="en-US" w:eastAsia="zh-CN"/>
        </w:rPr>
      </w:pPr>
      <w:r>
        <w:rPr>
          <w:rFonts w:hint="eastAsia"/>
          <w:lang w:val="en-US" w:eastAsia="zh-CN"/>
        </w:rPr>
        <w:t xml:space="preserve">                        </w:t>
      </w:r>
      <w:r>
        <w:rPr>
          <w:rFonts w:hint="eastAsia" w:eastAsia="仿宋_GB2312"/>
          <w:b/>
          <w:sz w:val="24"/>
          <w:lang w:val="en-US" w:eastAsia="zh-CN"/>
        </w:rPr>
        <w:drawing>
          <wp:inline distT="0" distB="0" distL="114300" distR="114300">
            <wp:extent cx="866775" cy="1170940"/>
            <wp:effectExtent l="0" t="0" r="9525" b="10160"/>
            <wp:docPr id="7" name="图片 7" descr="微信图片_20220321112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微信图片_20220321112018"/>
                    <pic:cNvPicPr>
                      <a:picLocks noChangeAspect="1"/>
                    </pic:cNvPicPr>
                  </pic:nvPicPr>
                  <pic:blipFill>
                    <a:blip r:embed="rId5"/>
                    <a:srcRect l="786" r="1714" b="2485"/>
                    <a:stretch>
                      <a:fillRect/>
                    </a:stretch>
                  </pic:blipFill>
                  <pic:spPr>
                    <a:xfrm>
                      <a:off x="0" y="0"/>
                      <a:ext cx="866775" cy="1170940"/>
                    </a:xfrm>
                    <a:prstGeom prst="rect">
                      <a:avLst/>
                    </a:prstGeom>
                  </pic:spPr>
                </pic:pic>
              </a:graphicData>
            </a:graphic>
          </wp:inline>
        </w:drawing>
      </w:r>
      <w:r>
        <w:rPr>
          <w:rFonts w:hint="eastAsia" w:eastAsia="仿宋_GB2312"/>
          <w:b/>
          <w:sz w:val="24"/>
          <w:lang w:val="en-US" w:eastAsia="zh-CN"/>
        </w:rPr>
        <w:t xml:space="preserve">  </w:t>
      </w:r>
      <w:r>
        <w:rPr>
          <w:rFonts w:hint="eastAsia" w:eastAsia="仿宋_GB2312"/>
          <w:b/>
          <w:sz w:val="24"/>
          <w:lang w:eastAsia="zh-CN"/>
        </w:rPr>
        <w:drawing>
          <wp:inline distT="0" distB="0" distL="114300" distR="114300">
            <wp:extent cx="902970" cy="1167765"/>
            <wp:effectExtent l="0" t="0" r="11430" b="5715"/>
            <wp:docPr id="5" name="图片 5"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图片1"/>
                    <pic:cNvPicPr>
                      <a:picLocks noChangeAspect="1"/>
                    </pic:cNvPicPr>
                  </pic:nvPicPr>
                  <pic:blipFill>
                    <a:blip r:embed="rId6"/>
                    <a:stretch>
                      <a:fillRect/>
                    </a:stretch>
                  </pic:blipFill>
                  <pic:spPr>
                    <a:xfrm>
                      <a:off x="0" y="0"/>
                      <a:ext cx="902970" cy="1167765"/>
                    </a:xfrm>
                    <a:prstGeom prst="rect">
                      <a:avLst/>
                    </a:prstGeom>
                  </pic:spPr>
                </pic:pic>
              </a:graphicData>
            </a:graphic>
          </wp:inline>
        </w:drawing>
      </w:r>
    </w:p>
    <w:p>
      <w:pPr>
        <w:tabs>
          <w:tab w:val="left" w:pos="5582"/>
        </w:tabs>
        <w:bidi w:val="0"/>
        <w:jc w:val="left"/>
        <w:rPr>
          <w:lang w:val="en-US" w:eastAsia="zh-CN"/>
        </w:rPr>
      </w:pPr>
      <w:r>
        <w:rPr>
          <w:rFonts w:hint="eastAsia"/>
          <w:lang w:val="en-US" w:eastAsia="zh-CN"/>
        </w:rPr>
        <w:tab/>
      </w:r>
    </w:p>
    <w:sectPr>
      <w:footerReference r:id="rId3" w:type="default"/>
      <w:pgSz w:w="11906" w:h="16838"/>
      <w:pgMar w:top="1418" w:right="1474" w:bottom="1418" w:left="1474"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Arial Unicode MS"/>
    <w:panose1 w:val="03000509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roman"/>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w:t>
                    </w:r>
                    <w:r>
                      <w:fldChar w:fldCharType="end"/>
                    </w:r>
                    <w: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14"/>
    <w:multiLevelType w:val="multilevel"/>
    <w:tmpl w:val="00000014"/>
    <w:lvl w:ilvl="0" w:tentative="0">
      <w:start w:val="1"/>
      <w:numFmt w:val="japaneseCounting"/>
      <w:lvlText w:val="第%1条"/>
      <w:lvlJc w:val="left"/>
      <w:pPr>
        <w:tabs>
          <w:tab w:val="left" w:pos="2877"/>
        </w:tabs>
        <w:ind w:left="2757" w:hanging="750"/>
      </w:pPr>
      <w:rPr>
        <w:rFonts w:hint="eastAsia"/>
        <w:b/>
        <w:color w:val="auto"/>
        <w:lang w:val="en-US"/>
      </w:rPr>
    </w:lvl>
    <w:lvl w:ilvl="1" w:tentative="0">
      <w:start w:val="1"/>
      <w:numFmt w:val="decimal"/>
      <w:lvlText w:val="（%2）"/>
      <w:lvlJc w:val="left"/>
      <w:pPr>
        <w:tabs>
          <w:tab w:val="left" w:pos="1560"/>
        </w:tabs>
        <w:ind w:left="1560" w:hanging="420"/>
      </w:pPr>
      <w:rPr>
        <w:rFonts w:hint="eastAsia"/>
      </w:rPr>
    </w:lvl>
    <w:lvl w:ilvl="2" w:tentative="0">
      <w:start w:val="5"/>
      <w:numFmt w:val="japaneseCounting"/>
      <w:lvlText w:val="第%3章"/>
      <w:lvlJc w:val="left"/>
      <w:pPr>
        <w:tabs>
          <w:tab w:val="left" w:pos="2520"/>
        </w:tabs>
        <w:ind w:left="2520" w:hanging="960"/>
      </w:pPr>
      <w:rPr>
        <w:rFonts w:hint="default"/>
      </w:rPr>
    </w:lvl>
    <w:lvl w:ilvl="3" w:tentative="0">
      <w:start w:val="1"/>
      <w:numFmt w:val="decimal"/>
      <w:lvlText w:val="%4."/>
      <w:lvlJc w:val="left"/>
      <w:pPr>
        <w:tabs>
          <w:tab w:val="left" w:pos="2400"/>
        </w:tabs>
        <w:ind w:left="2400" w:hanging="420"/>
      </w:pPr>
    </w:lvl>
    <w:lvl w:ilvl="4" w:tentative="0">
      <w:start w:val="1"/>
      <w:numFmt w:val="lowerLetter"/>
      <w:lvlText w:val="%5)"/>
      <w:lvlJc w:val="left"/>
      <w:pPr>
        <w:tabs>
          <w:tab w:val="left" w:pos="2820"/>
        </w:tabs>
        <w:ind w:left="2820" w:hanging="420"/>
      </w:pPr>
    </w:lvl>
    <w:lvl w:ilvl="5" w:tentative="0">
      <w:start w:val="1"/>
      <w:numFmt w:val="lowerRoman"/>
      <w:lvlText w:val="%6."/>
      <w:lvlJc w:val="right"/>
      <w:pPr>
        <w:tabs>
          <w:tab w:val="left" w:pos="3240"/>
        </w:tabs>
        <w:ind w:left="3240" w:hanging="420"/>
      </w:pPr>
    </w:lvl>
    <w:lvl w:ilvl="6" w:tentative="0">
      <w:start w:val="1"/>
      <w:numFmt w:val="decimal"/>
      <w:lvlText w:val="%7."/>
      <w:lvlJc w:val="left"/>
      <w:pPr>
        <w:tabs>
          <w:tab w:val="left" w:pos="3660"/>
        </w:tabs>
        <w:ind w:left="3660" w:hanging="420"/>
      </w:pPr>
    </w:lvl>
    <w:lvl w:ilvl="7" w:tentative="0">
      <w:start w:val="1"/>
      <w:numFmt w:val="lowerLetter"/>
      <w:lvlText w:val="%8)"/>
      <w:lvlJc w:val="left"/>
      <w:pPr>
        <w:tabs>
          <w:tab w:val="left" w:pos="4080"/>
        </w:tabs>
        <w:ind w:left="4080" w:hanging="420"/>
      </w:pPr>
    </w:lvl>
    <w:lvl w:ilvl="8" w:tentative="0">
      <w:start w:val="1"/>
      <w:numFmt w:val="lowerRoman"/>
      <w:lvlText w:val="%9."/>
      <w:lvlJc w:val="right"/>
      <w:pPr>
        <w:tabs>
          <w:tab w:val="left" w:pos="4500"/>
        </w:tabs>
        <w:ind w:left="4500" w:hanging="420"/>
      </w:pPr>
    </w:lvl>
  </w:abstractNum>
  <w:abstractNum w:abstractNumId="1">
    <w:nsid w:val="6C2F0393"/>
    <w:multiLevelType w:val="multilevel"/>
    <w:tmpl w:val="6C2F0393"/>
    <w:lvl w:ilvl="0" w:tentative="0">
      <w:start w:val="1"/>
      <w:numFmt w:val="japaneseCounting"/>
      <w:lvlText w:val="%1、"/>
      <w:lvlJc w:val="left"/>
      <w:pPr>
        <w:tabs>
          <w:tab w:val="left" w:pos="1320"/>
        </w:tabs>
        <w:ind w:left="1320" w:hanging="480"/>
      </w:pPr>
      <w:rPr>
        <w:rFonts w:hint="default"/>
      </w:rPr>
    </w:lvl>
    <w:lvl w:ilvl="1" w:tentative="0">
      <w:start w:val="1"/>
      <w:numFmt w:val="lowerLetter"/>
      <w:lvlText w:val="%2)"/>
      <w:lvlJc w:val="left"/>
      <w:pPr>
        <w:tabs>
          <w:tab w:val="left" w:pos="1680"/>
        </w:tabs>
        <w:ind w:left="1680" w:hanging="420"/>
      </w:pPr>
    </w:lvl>
    <w:lvl w:ilvl="2" w:tentative="0">
      <w:start w:val="1"/>
      <w:numFmt w:val="lowerRoman"/>
      <w:lvlText w:val="%3."/>
      <w:lvlJc w:val="right"/>
      <w:pPr>
        <w:tabs>
          <w:tab w:val="left" w:pos="2100"/>
        </w:tabs>
        <w:ind w:left="2100" w:hanging="420"/>
      </w:pPr>
    </w:lvl>
    <w:lvl w:ilvl="3" w:tentative="0">
      <w:start w:val="1"/>
      <w:numFmt w:val="decimal"/>
      <w:lvlText w:val="%4."/>
      <w:lvlJc w:val="left"/>
      <w:pPr>
        <w:tabs>
          <w:tab w:val="left" w:pos="2520"/>
        </w:tabs>
        <w:ind w:left="2520" w:hanging="420"/>
      </w:pPr>
    </w:lvl>
    <w:lvl w:ilvl="4" w:tentative="0">
      <w:start w:val="1"/>
      <w:numFmt w:val="lowerLetter"/>
      <w:lvlText w:val="%5)"/>
      <w:lvlJc w:val="left"/>
      <w:pPr>
        <w:tabs>
          <w:tab w:val="left" w:pos="2940"/>
        </w:tabs>
        <w:ind w:left="2940" w:hanging="420"/>
      </w:pPr>
    </w:lvl>
    <w:lvl w:ilvl="5" w:tentative="0">
      <w:start w:val="1"/>
      <w:numFmt w:val="lowerRoman"/>
      <w:lvlText w:val="%6."/>
      <w:lvlJc w:val="right"/>
      <w:pPr>
        <w:tabs>
          <w:tab w:val="left" w:pos="3360"/>
        </w:tabs>
        <w:ind w:left="3360" w:hanging="420"/>
      </w:pPr>
    </w:lvl>
    <w:lvl w:ilvl="6" w:tentative="0">
      <w:start w:val="1"/>
      <w:numFmt w:val="decimal"/>
      <w:lvlText w:val="%7."/>
      <w:lvlJc w:val="left"/>
      <w:pPr>
        <w:tabs>
          <w:tab w:val="left" w:pos="3780"/>
        </w:tabs>
        <w:ind w:left="3780" w:hanging="420"/>
      </w:pPr>
    </w:lvl>
    <w:lvl w:ilvl="7" w:tentative="0">
      <w:start w:val="1"/>
      <w:numFmt w:val="lowerLetter"/>
      <w:lvlText w:val="%8)"/>
      <w:lvlJc w:val="left"/>
      <w:pPr>
        <w:tabs>
          <w:tab w:val="left" w:pos="4200"/>
        </w:tabs>
        <w:ind w:left="4200" w:hanging="420"/>
      </w:pPr>
    </w:lvl>
    <w:lvl w:ilvl="8" w:tentative="0">
      <w:start w:val="1"/>
      <w:numFmt w:val="lowerRoman"/>
      <w:lvlText w:val="%9."/>
      <w:lvlJc w:val="right"/>
      <w:pPr>
        <w:tabs>
          <w:tab w:val="left" w:pos="4620"/>
        </w:tabs>
        <w:ind w:left="462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VkZDVmN2VlNjJhYTQwMDkxOTIxMWFiYTc2NTJhODgifQ=="/>
  </w:docVars>
  <w:rsids>
    <w:rsidRoot w:val="00172A27"/>
    <w:rsid w:val="00003D11"/>
    <w:rsid w:val="00006CF5"/>
    <w:rsid w:val="00007A6A"/>
    <w:rsid w:val="000200C9"/>
    <w:rsid w:val="00025DE1"/>
    <w:rsid w:val="000348A0"/>
    <w:rsid w:val="00035404"/>
    <w:rsid w:val="00042319"/>
    <w:rsid w:val="00046DCA"/>
    <w:rsid w:val="00051D78"/>
    <w:rsid w:val="00052495"/>
    <w:rsid w:val="00054786"/>
    <w:rsid w:val="00055DAD"/>
    <w:rsid w:val="00061C63"/>
    <w:rsid w:val="00065453"/>
    <w:rsid w:val="00066792"/>
    <w:rsid w:val="00070318"/>
    <w:rsid w:val="00080D3D"/>
    <w:rsid w:val="00087F00"/>
    <w:rsid w:val="00094D56"/>
    <w:rsid w:val="00097856"/>
    <w:rsid w:val="000A0173"/>
    <w:rsid w:val="000A39E7"/>
    <w:rsid w:val="000B09C0"/>
    <w:rsid w:val="000B0C89"/>
    <w:rsid w:val="000B30AE"/>
    <w:rsid w:val="000C1A53"/>
    <w:rsid w:val="000C2BBB"/>
    <w:rsid w:val="000C328D"/>
    <w:rsid w:val="000C4669"/>
    <w:rsid w:val="000C4C07"/>
    <w:rsid w:val="000C50E2"/>
    <w:rsid w:val="000C6DFF"/>
    <w:rsid w:val="000D1DAA"/>
    <w:rsid w:val="000D396E"/>
    <w:rsid w:val="000D5843"/>
    <w:rsid w:val="000E6D2A"/>
    <w:rsid w:val="00104692"/>
    <w:rsid w:val="0011106D"/>
    <w:rsid w:val="00116F3C"/>
    <w:rsid w:val="00123F9A"/>
    <w:rsid w:val="0013422A"/>
    <w:rsid w:val="00136CE7"/>
    <w:rsid w:val="00142D49"/>
    <w:rsid w:val="00154FBA"/>
    <w:rsid w:val="00172A27"/>
    <w:rsid w:val="001732F6"/>
    <w:rsid w:val="00173BEE"/>
    <w:rsid w:val="00174397"/>
    <w:rsid w:val="001750BA"/>
    <w:rsid w:val="001818A5"/>
    <w:rsid w:val="00183327"/>
    <w:rsid w:val="00187072"/>
    <w:rsid w:val="00190B99"/>
    <w:rsid w:val="00193EE9"/>
    <w:rsid w:val="001964F7"/>
    <w:rsid w:val="001A0233"/>
    <w:rsid w:val="001A70D1"/>
    <w:rsid w:val="001B00A0"/>
    <w:rsid w:val="001B1BE4"/>
    <w:rsid w:val="001C03E9"/>
    <w:rsid w:val="001C071C"/>
    <w:rsid w:val="001C27D8"/>
    <w:rsid w:val="001C28AF"/>
    <w:rsid w:val="001C4F44"/>
    <w:rsid w:val="001D7D70"/>
    <w:rsid w:val="001F420D"/>
    <w:rsid w:val="00206105"/>
    <w:rsid w:val="00220D94"/>
    <w:rsid w:val="002242BE"/>
    <w:rsid w:val="002274AA"/>
    <w:rsid w:val="00230B8F"/>
    <w:rsid w:val="00232BA3"/>
    <w:rsid w:val="00232DAC"/>
    <w:rsid w:val="00235075"/>
    <w:rsid w:val="002413FB"/>
    <w:rsid w:val="00243FEA"/>
    <w:rsid w:val="00244287"/>
    <w:rsid w:val="002454A7"/>
    <w:rsid w:val="00246734"/>
    <w:rsid w:val="0025409B"/>
    <w:rsid w:val="00254BE0"/>
    <w:rsid w:val="0025523A"/>
    <w:rsid w:val="0026236D"/>
    <w:rsid w:val="00267AC3"/>
    <w:rsid w:val="0028326D"/>
    <w:rsid w:val="002843B2"/>
    <w:rsid w:val="00284BCD"/>
    <w:rsid w:val="0029306C"/>
    <w:rsid w:val="002934E3"/>
    <w:rsid w:val="00294486"/>
    <w:rsid w:val="002954B3"/>
    <w:rsid w:val="002A25A8"/>
    <w:rsid w:val="002A37B7"/>
    <w:rsid w:val="002A57C6"/>
    <w:rsid w:val="002A77C6"/>
    <w:rsid w:val="002B0848"/>
    <w:rsid w:val="002B29C5"/>
    <w:rsid w:val="002B6462"/>
    <w:rsid w:val="002C026A"/>
    <w:rsid w:val="002C0DBB"/>
    <w:rsid w:val="002C6F0A"/>
    <w:rsid w:val="002C7CB8"/>
    <w:rsid w:val="002D10A5"/>
    <w:rsid w:val="002D3A75"/>
    <w:rsid w:val="002E036A"/>
    <w:rsid w:val="002E57F0"/>
    <w:rsid w:val="002E7333"/>
    <w:rsid w:val="002F6FEC"/>
    <w:rsid w:val="00300481"/>
    <w:rsid w:val="003005FF"/>
    <w:rsid w:val="00300C00"/>
    <w:rsid w:val="003062AF"/>
    <w:rsid w:val="00321222"/>
    <w:rsid w:val="00325DDF"/>
    <w:rsid w:val="003265DE"/>
    <w:rsid w:val="0033175D"/>
    <w:rsid w:val="00333D1C"/>
    <w:rsid w:val="0033493C"/>
    <w:rsid w:val="003644E6"/>
    <w:rsid w:val="0037041B"/>
    <w:rsid w:val="003718A2"/>
    <w:rsid w:val="0037474D"/>
    <w:rsid w:val="00375334"/>
    <w:rsid w:val="00382BB4"/>
    <w:rsid w:val="00396EFA"/>
    <w:rsid w:val="003A314D"/>
    <w:rsid w:val="003B162D"/>
    <w:rsid w:val="003B6B0C"/>
    <w:rsid w:val="003C173B"/>
    <w:rsid w:val="003C7DB3"/>
    <w:rsid w:val="003D1DFA"/>
    <w:rsid w:val="003D772A"/>
    <w:rsid w:val="003E40FC"/>
    <w:rsid w:val="003E65BF"/>
    <w:rsid w:val="00403FAA"/>
    <w:rsid w:val="0040424C"/>
    <w:rsid w:val="00406D55"/>
    <w:rsid w:val="004154EC"/>
    <w:rsid w:val="00415788"/>
    <w:rsid w:val="004204C2"/>
    <w:rsid w:val="00423D1B"/>
    <w:rsid w:val="004244B2"/>
    <w:rsid w:val="004264B4"/>
    <w:rsid w:val="0043308D"/>
    <w:rsid w:val="00437158"/>
    <w:rsid w:val="004506C7"/>
    <w:rsid w:val="00462A1E"/>
    <w:rsid w:val="00477C08"/>
    <w:rsid w:val="00480DD3"/>
    <w:rsid w:val="00481B21"/>
    <w:rsid w:val="00483FA0"/>
    <w:rsid w:val="004953B2"/>
    <w:rsid w:val="004B0D4C"/>
    <w:rsid w:val="004B6F33"/>
    <w:rsid w:val="004B6F77"/>
    <w:rsid w:val="004D1150"/>
    <w:rsid w:val="004D2D22"/>
    <w:rsid w:val="004D35BB"/>
    <w:rsid w:val="004D3772"/>
    <w:rsid w:val="004E0BDD"/>
    <w:rsid w:val="004E3893"/>
    <w:rsid w:val="004E55DC"/>
    <w:rsid w:val="004F5C32"/>
    <w:rsid w:val="004F63B7"/>
    <w:rsid w:val="004F7378"/>
    <w:rsid w:val="00500AC0"/>
    <w:rsid w:val="0050315A"/>
    <w:rsid w:val="0050372D"/>
    <w:rsid w:val="00507F2D"/>
    <w:rsid w:val="005117B9"/>
    <w:rsid w:val="005158FB"/>
    <w:rsid w:val="005178E2"/>
    <w:rsid w:val="00521A5E"/>
    <w:rsid w:val="0052494C"/>
    <w:rsid w:val="005339B7"/>
    <w:rsid w:val="005442D2"/>
    <w:rsid w:val="005545A3"/>
    <w:rsid w:val="0055662F"/>
    <w:rsid w:val="0056503E"/>
    <w:rsid w:val="00571BEE"/>
    <w:rsid w:val="0057585D"/>
    <w:rsid w:val="0057683F"/>
    <w:rsid w:val="00577C51"/>
    <w:rsid w:val="00580520"/>
    <w:rsid w:val="005851E8"/>
    <w:rsid w:val="00590492"/>
    <w:rsid w:val="00594AC8"/>
    <w:rsid w:val="005A1693"/>
    <w:rsid w:val="005A344E"/>
    <w:rsid w:val="005B0B62"/>
    <w:rsid w:val="005B1FB9"/>
    <w:rsid w:val="005C006A"/>
    <w:rsid w:val="005C01C6"/>
    <w:rsid w:val="005C1DC0"/>
    <w:rsid w:val="005C6351"/>
    <w:rsid w:val="005E0AD3"/>
    <w:rsid w:val="005E22CF"/>
    <w:rsid w:val="005E71B0"/>
    <w:rsid w:val="005E759C"/>
    <w:rsid w:val="006016CD"/>
    <w:rsid w:val="0060656D"/>
    <w:rsid w:val="00606B46"/>
    <w:rsid w:val="00611B81"/>
    <w:rsid w:val="00611D59"/>
    <w:rsid w:val="0061276D"/>
    <w:rsid w:val="00633482"/>
    <w:rsid w:val="00640A93"/>
    <w:rsid w:val="00641056"/>
    <w:rsid w:val="006452DB"/>
    <w:rsid w:val="00655120"/>
    <w:rsid w:val="00656726"/>
    <w:rsid w:val="00660E76"/>
    <w:rsid w:val="00663518"/>
    <w:rsid w:val="00663B1A"/>
    <w:rsid w:val="00665A2F"/>
    <w:rsid w:val="0066716B"/>
    <w:rsid w:val="0067205F"/>
    <w:rsid w:val="00673F1A"/>
    <w:rsid w:val="006778AA"/>
    <w:rsid w:val="00682C5D"/>
    <w:rsid w:val="00685105"/>
    <w:rsid w:val="006858FE"/>
    <w:rsid w:val="006919CB"/>
    <w:rsid w:val="00694586"/>
    <w:rsid w:val="006A21C0"/>
    <w:rsid w:val="006A762B"/>
    <w:rsid w:val="006B7410"/>
    <w:rsid w:val="006C22E4"/>
    <w:rsid w:val="006C337B"/>
    <w:rsid w:val="006C3827"/>
    <w:rsid w:val="006D2AD0"/>
    <w:rsid w:val="006E1839"/>
    <w:rsid w:val="006E4D7A"/>
    <w:rsid w:val="006E6394"/>
    <w:rsid w:val="006E7B74"/>
    <w:rsid w:val="006F7427"/>
    <w:rsid w:val="0070609E"/>
    <w:rsid w:val="007075DF"/>
    <w:rsid w:val="00710844"/>
    <w:rsid w:val="0071485D"/>
    <w:rsid w:val="007162F8"/>
    <w:rsid w:val="00722BED"/>
    <w:rsid w:val="0072705D"/>
    <w:rsid w:val="00731E4F"/>
    <w:rsid w:val="00735118"/>
    <w:rsid w:val="00737378"/>
    <w:rsid w:val="00744D65"/>
    <w:rsid w:val="0074520F"/>
    <w:rsid w:val="00762DC4"/>
    <w:rsid w:val="00766F21"/>
    <w:rsid w:val="00767418"/>
    <w:rsid w:val="007728AA"/>
    <w:rsid w:val="0077691F"/>
    <w:rsid w:val="00776F1C"/>
    <w:rsid w:val="00780622"/>
    <w:rsid w:val="00783E01"/>
    <w:rsid w:val="00785796"/>
    <w:rsid w:val="007979A9"/>
    <w:rsid w:val="007A741A"/>
    <w:rsid w:val="007B4366"/>
    <w:rsid w:val="007C355A"/>
    <w:rsid w:val="007C578B"/>
    <w:rsid w:val="007C6108"/>
    <w:rsid w:val="007C6CCB"/>
    <w:rsid w:val="007C6D90"/>
    <w:rsid w:val="007D2182"/>
    <w:rsid w:val="007F1165"/>
    <w:rsid w:val="007F5C72"/>
    <w:rsid w:val="00807F48"/>
    <w:rsid w:val="0081153C"/>
    <w:rsid w:val="008124B5"/>
    <w:rsid w:val="008154DB"/>
    <w:rsid w:val="00816B89"/>
    <w:rsid w:val="00822933"/>
    <w:rsid w:val="008266FF"/>
    <w:rsid w:val="00830042"/>
    <w:rsid w:val="00831E2F"/>
    <w:rsid w:val="00837CC4"/>
    <w:rsid w:val="00841A63"/>
    <w:rsid w:val="00853CB9"/>
    <w:rsid w:val="00854628"/>
    <w:rsid w:val="00856908"/>
    <w:rsid w:val="0086118A"/>
    <w:rsid w:val="00861207"/>
    <w:rsid w:val="00870B08"/>
    <w:rsid w:val="00873E72"/>
    <w:rsid w:val="0087755F"/>
    <w:rsid w:val="0088673A"/>
    <w:rsid w:val="00893B04"/>
    <w:rsid w:val="008B2552"/>
    <w:rsid w:val="008B3286"/>
    <w:rsid w:val="008B4999"/>
    <w:rsid w:val="008C268F"/>
    <w:rsid w:val="008C33D8"/>
    <w:rsid w:val="008C3D11"/>
    <w:rsid w:val="008C6377"/>
    <w:rsid w:val="008C6F4E"/>
    <w:rsid w:val="008C7338"/>
    <w:rsid w:val="008D2C8B"/>
    <w:rsid w:val="008D4595"/>
    <w:rsid w:val="008E3EAB"/>
    <w:rsid w:val="008E6DF1"/>
    <w:rsid w:val="008E7139"/>
    <w:rsid w:val="008F0ADA"/>
    <w:rsid w:val="008F391E"/>
    <w:rsid w:val="008F45A4"/>
    <w:rsid w:val="008F600B"/>
    <w:rsid w:val="009001C0"/>
    <w:rsid w:val="009037CD"/>
    <w:rsid w:val="0091135C"/>
    <w:rsid w:val="009173C3"/>
    <w:rsid w:val="00942AC5"/>
    <w:rsid w:val="00946491"/>
    <w:rsid w:val="00947DE6"/>
    <w:rsid w:val="00967AF8"/>
    <w:rsid w:val="009708DC"/>
    <w:rsid w:val="00971DA0"/>
    <w:rsid w:val="009839DA"/>
    <w:rsid w:val="00984257"/>
    <w:rsid w:val="009845EC"/>
    <w:rsid w:val="009848E7"/>
    <w:rsid w:val="00992D5C"/>
    <w:rsid w:val="009945D1"/>
    <w:rsid w:val="00994EB2"/>
    <w:rsid w:val="009A1F77"/>
    <w:rsid w:val="009C43F5"/>
    <w:rsid w:val="009C4C21"/>
    <w:rsid w:val="009C602D"/>
    <w:rsid w:val="009D124D"/>
    <w:rsid w:val="009E41B3"/>
    <w:rsid w:val="009E45E9"/>
    <w:rsid w:val="009E63BF"/>
    <w:rsid w:val="009F1594"/>
    <w:rsid w:val="009F1CE9"/>
    <w:rsid w:val="009F2B96"/>
    <w:rsid w:val="009F70C1"/>
    <w:rsid w:val="00A175CE"/>
    <w:rsid w:val="00A25A65"/>
    <w:rsid w:val="00A26022"/>
    <w:rsid w:val="00A33D8C"/>
    <w:rsid w:val="00A47506"/>
    <w:rsid w:val="00A579F9"/>
    <w:rsid w:val="00A60164"/>
    <w:rsid w:val="00A60824"/>
    <w:rsid w:val="00A613A5"/>
    <w:rsid w:val="00A624EA"/>
    <w:rsid w:val="00A66252"/>
    <w:rsid w:val="00A76547"/>
    <w:rsid w:val="00A84B58"/>
    <w:rsid w:val="00A902B7"/>
    <w:rsid w:val="00A9563A"/>
    <w:rsid w:val="00A96907"/>
    <w:rsid w:val="00AA21DD"/>
    <w:rsid w:val="00AB3A2B"/>
    <w:rsid w:val="00AB5654"/>
    <w:rsid w:val="00AB58F0"/>
    <w:rsid w:val="00AB6266"/>
    <w:rsid w:val="00AC2E01"/>
    <w:rsid w:val="00AD4BC9"/>
    <w:rsid w:val="00AD51CE"/>
    <w:rsid w:val="00AE1D06"/>
    <w:rsid w:val="00AF0C71"/>
    <w:rsid w:val="00AF15E7"/>
    <w:rsid w:val="00AF2155"/>
    <w:rsid w:val="00AF3BA6"/>
    <w:rsid w:val="00AF72E4"/>
    <w:rsid w:val="00B11CAD"/>
    <w:rsid w:val="00B13DEF"/>
    <w:rsid w:val="00B17559"/>
    <w:rsid w:val="00B277B0"/>
    <w:rsid w:val="00B3369E"/>
    <w:rsid w:val="00B342A7"/>
    <w:rsid w:val="00B403BD"/>
    <w:rsid w:val="00B4112F"/>
    <w:rsid w:val="00B41D86"/>
    <w:rsid w:val="00B46992"/>
    <w:rsid w:val="00B5426C"/>
    <w:rsid w:val="00B619C0"/>
    <w:rsid w:val="00B640FB"/>
    <w:rsid w:val="00B6418E"/>
    <w:rsid w:val="00B71624"/>
    <w:rsid w:val="00B72B5F"/>
    <w:rsid w:val="00B77028"/>
    <w:rsid w:val="00B83B5D"/>
    <w:rsid w:val="00B86FDD"/>
    <w:rsid w:val="00B92FD0"/>
    <w:rsid w:val="00B971D8"/>
    <w:rsid w:val="00BA2401"/>
    <w:rsid w:val="00BA4989"/>
    <w:rsid w:val="00BA6AC6"/>
    <w:rsid w:val="00BB0B92"/>
    <w:rsid w:val="00BB2DBB"/>
    <w:rsid w:val="00BB5A5E"/>
    <w:rsid w:val="00BB770D"/>
    <w:rsid w:val="00BD4316"/>
    <w:rsid w:val="00BE0CD8"/>
    <w:rsid w:val="00BF184D"/>
    <w:rsid w:val="00BF40DA"/>
    <w:rsid w:val="00BF496C"/>
    <w:rsid w:val="00C02788"/>
    <w:rsid w:val="00C06FF9"/>
    <w:rsid w:val="00C104EE"/>
    <w:rsid w:val="00C11733"/>
    <w:rsid w:val="00C21F97"/>
    <w:rsid w:val="00C24A81"/>
    <w:rsid w:val="00C25407"/>
    <w:rsid w:val="00C301F8"/>
    <w:rsid w:val="00C35812"/>
    <w:rsid w:val="00C466CD"/>
    <w:rsid w:val="00C51D5A"/>
    <w:rsid w:val="00C5426E"/>
    <w:rsid w:val="00C70D8F"/>
    <w:rsid w:val="00C71C38"/>
    <w:rsid w:val="00C83074"/>
    <w:rsid w:val="00C90302"/>
    <w:rsid w:val="00CA0833"/>
    <w:rsid w:val="00CB4C5F"/>
    <w:rsid w:val="00CB6C6C"/>
    <w:rsid w:val="00CC093A"/>
    <w:rsid w:val="00CC3E30"/>
    <w:rsid w:val="00CC5D66"/>
    <w:rsid w:val="00CD188A"/>
    <w:rsid w:val="00CD39B1"/>
    <w:rsid w:val="00CD409E"/>
    <w:rsid w:val="00CE1658"/>
    <w:rsid w:val="00CE50A2"/>
    <w:rsid w:val="00CF0B93"/>
    <w:rsid w:val="00D01283"/>
    <w:rsid w:val="00D04191"/>
    <w:rsid w:val="00D04B28"/>
    <w:rsid w:val="00D068DE"/>
    <w:rsid w:val="00D2183B"/>
    <w:rsid w:val="00D22200"/>
    <w:rsid w:val="00D2246F"/>
    <w:rsid w:val="00D25AEE"/>
    <w:rsid w:val="00D27F09"/>
    <w:rsid w:val="00D40D71"/>
    <w:rsid w:val="00D4265A"/>
    <w:rsid w:val="00D46FFE"/>
    <w:rsid w:val="00D524E0"/>
    <w:rsid w:val="00D54946"/>
    <w:rsid w:val="00D56137"/>
    <w:rsid w:val="00D619BC"/>
    <w:rsid w:val="00D62481"/>
    <w:rsid w:val="00D62E48"/>
    <w:rsid w:val="00D74CAB"/>
    <w:rsid w:val="00D75087"/>
    <w:rsid w:val="00D7757B"/>
    <w:rsid w:val="00D83A46"/>
    <w:rsid w:val="00D85B58"/>
    <w:rsid w:val="00D9461F"/>
    <w:rsid w:val="00DA0479"/>
    <w:rsid w:val="00DA3FAC"/>
    <w:rsid w:val="00DA48E2"/>
    <w:rsid w:val="00DC10D6"/>
    <w:rsid w:val="00DC2617"/>
    <w:rsid w:val="00DD2F73"/>
    <w:rsid w:val="00DD771E"/>
    <w:rsid w:val="00DE0E8A"/>
    <w:rsid w:val="00DE1764"/>
    <w:rsid w:val="00DE3A63"/>
    <w:rsid w:val="00DF31FD"/>
    <w:rsid w:val="00DF59F0"/>
    <w:rsid w:val="00E00F62"/>
    <w:rsid w:val="00E03B70"/>
    <w:rsid w:val="00E1258F"/>
    <w:rsid w:val="00E2061C"/>
    <w:rsid w:val="00E2195B"/>
    <w:rsid w:val="00E23627"/>
    <w:rsid w:val="00E257CE"/>
    <w:rsid w:val="00E30E90"/>
    <w:rsid w:val="00E30F1F"/>
    <w:rsid w:val="00E5356A"/>
    <w:rsid w:val="00E54416"/>
    <w:rsid w:val="00E61DC5"/>
    <w:rsid w:val="00E62C2E"/>
    <w:rsid w:val="00E7059E"/>
    <w:rsid w:val="00E708D5"/>
    <w:rsid w:val="00E70B83"/>
    <w:rsid w:val="00E73C10"/>
    <w:rsid w:val="00E77CA8"/>
    <w:rsid w:val="00E87A7C"/>
    <w:rsid w:val="00E92447"/>
    <w:rsid w:val="00E95CF2"/>
    <w:rsid w:val="00EA02BC"/>
    <w:rsid w:val="00EA2625"/>
    <w:rsid w:val="00EA64C3"/>
    <w:rsid w:val="00EA7A12"/>
    <w:rsid w:val="00EC7F65"/>
    <w:rsid w:val="00ED11E9"/>
    <w:rsid w:val="00ED2C2A"/>
    <w:rsid w:val="00EE0CC3"/>
    <w:rsid w:val="00EF1BD8"/>
    <w:rsid w:val="00EF250C"/>
    <w:rsid w:val="00EF27D2"/>
    <w:rsid w:val="00EF5710"/>
    <w:rsid w:val="00EF58FD"/>
    <w:rsid w:val="00EF7ACC"/>
    <w:rsid w:val="00F0053E"/>
    <w:rsid w:val="00F056AE"/>
    <w:rsid w:val="00F06417"/>
    <w:rsid w:val="00F070E2"/>
    <w:rsid w:val="00F15097"/>
    <w:rsid w:val="00F2342C"/>
    <w:rsid w:val="00F23633"/>
    <w:rsid w:val="00F27CCA"/>
    <w:rsid w:val="00F27F89"/>
    <w:rsid w:val="00F40178"/>
    <w:rsid w:val="00F407CB"/>
    <w:rsid w:val="00F41A28"/>
    <w:rsid w:val="00F420A3"/>
    <w:rsid w:val="00F42D22"/>
    <w:rsid w:val="00F47B68"/>
    <w:rsid w:val="00F47C80"/>
    <w:rsid w:val="00F56F22"/>
    <w:rsid w:val="00F605A8"/>
    <w:rsid w:val="00F62B7E"/>
    <w:rsid w:val="00F643D2"/>
    <w:rsid w:val="00F7052D"/>
    <w:rsid w:val="00F7196A"/>
    <w:rsid w:val="00F72329"/>
    <w:rsid w:val="00F76212"/>
    <w:rsid w:val="00F76D3F"/>
    <w:rsid w:val="00F802E6"/>
    <w:rsid w:val="00F86C51"/>
    <w:rsid w:val="00FC6F03"/>
    <w:rsid w:val="00FD4572"/>
    <w:rsid w:val="00FD59E9"/>
    <w:rsid w:val="00FE45DF"/>
    <w:rsid w:val="00FE541D"/>
    <w:rsid w:val="00FF0C7A"/>
    <w:rsid w:val="00FF5972"/>
    <w:rsid w:val="00FF6D5C"/>
    <w:rsid w:val="045B2A64"/>
    <w:rsid w:val="05AF49FB"/>
    <w:rsid w:val="06802152"/>
    <w:rsid w:val="0BC362A6"/>
    <w:rsid w:val="0DF81118"/>
    <w:rsid w:val="0F590D1A"/>
    <w:rsid w:val="0F6E6E01"/>
    <w:rsid w:val="1D5E52D4"/>
    <w:rsid w:val="259977CA"/>
    <w:rsid w:val="28E23E39"/>
    <w:rsid w:val="2C7B7296"/>
    <w:rsid w:val="2D105316"/>
    <w:rsid w:val="2D1C3923"/>
    <w:rsid w:val="2DC9049A"/>
    <w:rsid w:val="2DDB4452"/>
    <w:rsid w:val="2ECA0C2A"/>
    <w:rsid w:val="30382648"/>
    <w:rsid w:val="32827D75"/>
    <w:rsid w:val="33572DE7"/>
    <w:rsid w:val="351A14DC"/>
    <w:rsid w:val="38730E12"/>
    <w:rsid w:val="388365F5"/>
    <w:rsid w:val="38F74DE5"/>
    <w:rsid w:val="39282B4A"/>
    <w:rsid w:val="3BF60E9A"/>
    <w:rsid w:val="3C6F136A"/>
    <w:rsid w:val="41B93C70"/>
    <w:rsid w:val="42031997"/>
    <w:rsid w:val="4E290798"/>
    <w:rsid w:val="4EE63AAA"/>
    <w:rsid w:val="5236153C"/>
    <w:rsid w:val="52CD3A18"/>
    <w:rsid w:val="53EB1852"/>
    <w:rsid w:val="559F605D"/>
    <w:rsid w:val="5C48498B"/>
    <w:rsid w:val="60A878E7"/>
    <w:rsid w:val="61EE06FE"/>
    <w:rsid w:val="639C2A2A"/>
    <w:rsid w:val="65E6698E"/>
    <w:rsid w:val="681A5492"/>
    <w:rsid w:val="6C073563"/>
    <w:rsid w:val="6C360EC6"/>
    <w:rsid w:val="6DE51D9D"/>
    <w:rsid w:val="6F9E1385"/>
    <w:rsid w:val="71884F77"/>
    <w:rsid w:val="74611FDB"/>
    <w:rsid w:val="77ED25BF"/>
    <w:rsid w:val="7BC26D74"/>
    <w:rsid w:val="7C271AD0"/>
    <w:rsid w:val="7EA146AC"/>
    <w:rsid w:val="7F4874EB"/>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autoRedefine/>
    <w:semiHidden/>
    <w:unhideWhenUsed/>
    <w:qFormat/>
    <w:uiPriority w:val="1"/>
  </w:style>
  <w:style w:type="table" w:default="1" w:styleId="9">
    <w:name w:val="Normal Table"/>
    <w:autoRedefine/>
    <w:semiHidden/>
    <w:unhideWhenUsed/>
    <w:qFormat/>
    <w:uiPriority w:val="99"/>
    <w:tblPr>
      <w:tblCellMar>
        <w:top w:w="0" w:type="dxa"/>
        <w:left w:w="108" w:type="dxa"/>
        <w:bottom w:w="0" w:type="dxa"/>
        <w:right w:w="108" w:type="dxa"/>
      </w:tblCellMar>
    </w:tblPr>
  </w:style>
  <w:style w:type="paragraph" w:styleId="2">
    <w:name w:val="annotation text"/>
    <w:basedOn w:val="1"/>
    <w:link w:val="18"/>
    <w:autoRedefine/>
    <w:qFormat/>
    <w:uiPriority w:val="0"/>
    <w:pPr>
      <w:jc w:val="left"/>
    </w:pPr>
  </w:style>
  <w:style w:type="paragraph" w:styleId="3">
    <w:name w:val="Date"/>
    <w:basedOn w:val="1"/>
    <w:next w:val="1"/>
    <w:autoRedefine/>
    <w:qFormat/>
    <w:uiPriority w:val="0"/>
    <w:pPr>
      <w:ind w:left="100" w:leftChars="2500"/>
    </w:pPr>
  </w:style>
  <w:style w:type="paragraph" w:styleId="4">
    <w:name w:val="Balloon Text"/>
    <w:basedOn w:val="1"/>
    <w:autoRedefine/>
    <w:qFormat/>
    <w:uiPriority w:val="0"/>
    <w:rPr>
      <w:sz w:val="18"/>
      <w:szCs w:val="18"/>
    </w:rPr>
  </w:style>
  <w:style w:type="paragraph" w:styleId="5">
    <w:name w:val="footer"/>
    <w:basedOn w:val="1"/>
    <w:autoRedefine/>
    <w:qFormat/>
    <w:uiPriority w:val="0"/>
    <w:pPr>
      <w:tabs>
        <w:tab w:val="center" w:pos="4153"/>
        <w:tab w:val="right" w:pos="8306"/>
      </w:tabs>
      <w:snapToGrid w:val="0"/>
      <w:jc w:val="left"/>
    </w:pPr>
    <w:rPr>
      <w:sz w:val="18"/>
      <w:szCs w:val="18"/>
    </w:rPr>
  </w:style>
  <w:style w:type="paragraph" w:styleId="6">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8">
    <w:name w:val="annotation subject"/>
    <w:basedOn w:val="2"/>
    <w:next w:val="2"/>
    <w:link w:val="19"/>
    <w:qFormat/>
    <w:uiPriority w:val="0"/>
    <w:rPr>
      <w:b/>
      <w:bCs/>
    </w:rPr>
  </w:style>
  <w:style w:type="character" w:styleId="11">
    <w:name w:val="page number"/>
    <w:basedOn w:val="10"/>
    <w:autoRedefine/>
    <w:qFormat/>
    <w:uiPriority w:val="0"/>
  </w:style>
  <w:style w:type="character" w:styleId="12">
    <w:name w:val="FollowedHyperlink"/>
    <w:autoRedefine/>
    <w:qFormat/>
    <w:uiPriority w:val="0"/>
    <w:rPr>
      <w:color w:val="800080"/>
      <w:u w:val="single"/>
    </w:rPr>
  </w:style>
  <w:style w:type="character" w:styleId="13">
    <w:name w:val="Hyperlink"/>
    <w:autoRedefine/>
    <w:qFormat/>
    <w:uiPriority w:val="0"/>
    <w:rPr>
      <w:color w:val="0000FF"/>
      <w:u w:val="single"/>
    </w:rPr>
  </w:style>
  <w:style w:type="character" w:styleId="14">
    <w:name w:val="annotation reference"/>
    <w:autoRedefine/>
    <w:qFormat/>
    <w:uiPriority w:val="0"/>
    <w:rPr>
      <w:sz w:val="21"/>
      <w:szCs w:val="21"/>
    </w:rPr>
  </w:style>
  <w:style w:type="character" w:customStyle="1" w:styleId="15">
    <w:name w:val="content1"/>
    <w:autoRedefine/>
    <w:qFormat/>
    <w:uiPriority w:val="0"/>
    <w:rPr>
      <w:color w:val="000000"/>
      <w:sz w:val="18"/>
      <w:szCs w:val="18"/>
      <w:u w:val="none"/>
    </w:rPr>
  </w:style>
  <w:style w:type="character" w:customStyle="1" w:styleId="16">
    <w:name w:val="unnamed11"/>
    <w:autoRedefine/>
    <w:qFormat/>
    <w:uiPriority w:val="0"/>
    <w:rPr>
      <w:rFonts w:hint="eastAsia" w:ascii="宋体" w:hAnsi="宋体" w:eastAsia="宋体"/>
      <w:sz w:val="18"/>
      <w:szCs w:val="18"/>
    </w:rPr>
  </w:style>
  <w:style w:type="paragraph" w:customStyle="1" w:styleId="17">
    <w:name w:val="u"/>
    <w:basedOn w:val="1"/>
    <w:autoRedefine/>
    <w:qFormat/>
    <w:uiPriority w:val="0"/>
    <w:pPr>
      <w:widowControl/>
      <w:spacing w:after="160" w:line="240" w:lineRule="exact"/>
      <w:jc w:val="left"/>
    </w:pPr>
  </w:style>
  <w:style w:type="character" w:customStyle="1" w:styleId="18">
    <w:name w:val="批注文字 Char"/>
    <w:link w:val="2"/>
    <w:autoRedefine/>
    <w:qFormat/>
    <w:uiPriority w:val="0"/>
    <w:rPr>
      <w:kern w:val="2"/>
      <w:sz w:val="21"/>
      <w:szCs w:val="24"/>
    </w:rPr>
  </w:style>
  <w:style w:type="character" w:customStyle="1" w:styleId="19">
    <w:name w:val="批注主题 Char"/>
    <w:link w:val="8"/>
    <w:autoRedefine/>
    <w:qFormat/>
    <w:uiPriority w:val="0"/>
    <w:rPr>
      <w:b/>
      <w:bCs/>
      <w:kern w:val="2"/>
      <w:sz w:val="21"/>
      <w:szCs w:val="24"/>
    </w:rPr>
  </w:style>
  <w:style w:type="paragraph" w:customStyle="1" w:styleId="20">
    <w:name w:val="Revision"/>
    <w:autoRedefine/>
    <w:hidden/>
    <w:semiHidden/>
    <w:qFormat/>
    <w:uiPriority w:val="99"/>
    <w:rPr>
      <w:rFonts w:ascii="Times New Roman" w:hAnsi="Times New Roman" w:eastAsia="宋体" w:cs="Times New Roman"/>
      <w:kern w:val="2"/>
      <w:sz w:val="21"/>
      <w:szCs w:val="24"/>
      <w:lang w:val="en-US" w:eastAsia="zh-CN" w:bidi="ar-SA"/>
    </w:rPr>
  </w:style>
  <w:style w:type="paragraph" w:styleId="21">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5E65CA7-CD8E-499F-ADA7-283055DABC59}">
  <ds:schemaRefs/>
</ds:datastoreItem>
</file>

<file path=docProps/app.xml><?xml version="1.0" encoding="utf-8"?>
<Properties xmlns="http://schemas.openxmlformats.org/officeDocument/2006/extended-properties" xmlns:vt="http://schemas.openxmlformats.org/officeDocument/2006/docPropsVTypes">
  <Template>Normal.dotm</Template>
  <Company>MC SYSTEM</Company>
  <Pages>4</Pages>
  <Words>2438</Words>
  <Characters>2575</Characters>
  <Lines>16</Lines>
  <Paragraphs>4</Paragraphs>
  <TotalTime>11</TotalTime>
  <ScaleCrop>false</ScaleCrop>
  <LinksUpToDate>false</LinksUpToDate>
  <CharactersWithSpaces>2649</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2018-11-05T02:06:00Z</dcterms:created>
  <dc:creator>zb1</dc:creator>
  <cp:lastModifiedBy>欧深</cp:lastModifiedBy>
  <cp:lastPrinted>2023-02-06T08:13:00Z</cp:lastPrinted>
  <dcterms:modified xsi:type="dcterms:W3CDTF">2024-03-04T07:18:01Z</dcterms:modified>
  <dc:title>天津职业大学2007年招生章程</dc:title>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A025BFC78A6B43208303D9681FBC5472</vt:lpwstr>
  </property>
</Properties>
</file>