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keepNext w:val="0"/>
        <w:keepLines w:val="0"/>
        <w:pageBreakBefore w:val="0"/>
        <w:widowControl/>
        <w:kinsoku/>
        <w:overflowPunct/>
        <w:topLinePunct w:val="0"/>
        <w:autoSpaceDE/>
        <w:autoSpaceDN/>
        <w:bidi w:val="0"/>
        <w:adjustRightInd/>
        <w:snapToGrid/>
        <w:spacing w:line="360" w:lineRule="auto"/>
        <w:ind w:firstLine="720" w:firstLineChars="200"/>
        <w:jc w:val="center"/>
        <w:textAlignment w:val="auto"/>
        <w:rPr>
          <w:rFonts w:hint="eastAsia" w:ascii="方正公文黑体" w:hAnsi="方正公文黑体" w:eastAsia="方正公文黑体" w:cs="方正公文黑体"/>
          <w:color w:val="000000"/>
          <w:sz w:val="36"/>
          <w:szCs w:val="36"/>
        </w:rPr>
      </w:pPr>
      <w:r>
        <w:rPr>
          <w:rFonts w:hint="eastAsia" w:ascii="方正公文黑体" w:hAnsi="方正公文黑体" w:eastAsia="方正公文黑体" w:cs="方正公文黑体"/>
          <w:color w:val="000000"/>
          <w:sz w:val="36"/>
          <w:szCs w:val="36"/>
        </w:rPr>
        <w:t>天津工业职业学院202</w:t>
      </w:r>
      <w:r>
        <w:rPr>
          <w:rFonts w:hint="eastAsia" w:ascii="方正公文黑体" w:hAnsi="方正公文黑体" w:eastAsia="方正公文黑体" w:cs="方正公文黑体"/>
          <w:color w:val="000000"/>
          <w:sz w:val="36"/>
          <w:szCs w:val="36"/>
          <w:lang w:val="en-US" w:eastAsia="zh-CN"/>
        </w:rPr>
        <w:t>4</w:t>
      </w:r>
      <w:r>
        <w:rPr>
          <w:rFonts w:hint="eastAsia" w:ascii="方正公文黑体" w:hAnsi="方正公文黑体" w:eastAsia="方正公文黑体" w:cs="方正公文黑体"/>
          <w:color w:val="000000"/>
          <w:sz w:val="36"/>
          <w:szCs w:val="36"/>
        </w:rPr>
        <w:t>年高职分类考试</w:t>
      </w:r>
    </w:p>
    <w:p>
      <w:pPr>
        <w:pStyle w:val="23"/>
        <w:keepNext w:val="0"/>
        <w:keepLines w:val="0"/>
        <w:pageBreakBefore w:val="0"/>
        <w:widowControl/>
        <w:kinsoku/>
        <w:overflowPunct/>
        <w:topLinePunct w:val="0"/>
        <w:autoSpaceDE/>
        <w:autoSpaceDN/>
        <w:bidi w:val="0"/>
        <w:adjustRightInd/>
        <w:snapToGrid/>
        <w:spacing w:line="360" w:lineRule="auto"/>
        <w:ind w:firstLine="720" w:firstLineChars="200"/>
        <w:jc w:val="center"/>
        <w:textAlignment w:val="auto"/>
        <w:rPr>
          <w:rFonts w:hint="eastAsia" w:ascii="方正公文黑体" w:hAnsi="方正公文黑体" w:eastAsia="方正公文黑体" w:cs="方正公文黑体"/>
          <w:color w:val="000000"/>
          <w:sz w:val="36"/>
          <w:szCs w:val="36"/>
        </w:rPr>
      </w:pPr>
      <w:r>
        <w:rPr>
          <w:rFonts w:hint="eastAsia" w:ascii="方正公文黑体" w:hAnsi="方正公文黑体" w:eastAsia="方正公文黑体" w:cs="方正公文黑体"/>
          <w:color w:val="000000"/>
          <w:sz w:val="36"/>
          <w:szCs w:val="36"/>
        </w:rPr>
        <w:t>招收普通高中毕业生招生章程</w:t>
      </w:r>
    </w:p>
    <w:p>
      <w:pPr>
        <w:pStyle w:val="23"/>
        <w:keepNext w:val="0"/>
        <w:keepLines w:val="0"/>
        <w:pageBreakBefore w:val="0"/>
        <w:widowControl/>
        <w:kinsoku/>
        <w:overflowPunct/>
        <w:topLinePunct w:val="0"/>
        <w:autoSpaceDE/>
        <w:autoSpaceDN/>
        <w:bidi w:val="0"/>
        <w:adjustRightInd/>
        <w:snapToGrid/>
        <w:spacing w:line="360" w:lineRule="auto"/>
        <w:ind w:firstLine="600" w:firstLineChars="200"/>
        <w:jc w:val="center"/>
        <w:textAlignment w:val="auto"/>
        <w:rPr>
          <w:rFonts w:hint="eastAsia" w:ascii="方正公文黑体" w:hAnsi="方正公文黑体" w:eastAsia="方正公文黑体" w:cs="方正公文黑体"/>
          <w:b w:val="0"/>
          <w:bCs w:val="0"/>
          <w:sz w:val="30"/>
          <w:szCs w:val="30"/>
        </w:rPr>
      </w:pPr>
      <w:r>
        <w:rPr>
          <w:rFonts w:hint="eastAsia" w:ascii="方正公文黑体" w:hAnsi="方正公文黑体" w:eastAsia="方正公文黑体" w:cs="方正公文黑体"/>
          <w:b w:val="0"/>
          <w:bCs w:val="0"/>
          <w:color w:val="000000"/>
          <w:sz w:val="30"/>
          <w:szCs w:val="30"/>
        </w:rPr>
        <w:t>第一章 总则</w:t>
      </w:r>
    </w:p>
    <w:p>
      <w:pPr>
        <w:pStyle w:val="23"/>
        <w:keepNext w:val="0"/>
        <w:keepLines w:val="0"/>
        <w:pageBreakBefore w:val="0"/>
        <w:widowControl/>
        <w:kinsoku/>
        <w:overflowPunct/>
        <w:topLinePunct w:val="0"/>
        <w:autoSpaceDE/>
        <w:autoSpaceDN/>
        <w:bidi w:val="0"/>
        <w:adjustRightInd/>
        <w:snapToGrid/>
        <w:spacing w:line="360" w:lineRule="auto"/>
        <w:ind w:firstLine="602"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bCs/>
          <w:color w:val="000000"/>
          <w:sz w:val="30"/>
          <w:szCs w:val="30"/>
        </w:rPr>
        <w:t>第一条</w:t>
      </w:r>
      <w:r>
        <w:rPr>
          <w:rFonts w:hint="eastAsia" w:ascii="方正仿宋_GB2312" w:hAnsi="方正仿宋_GB2312" w:eastAsia="方正仿宋_GB2312" w:cs="方正仿宋_GB2312"/>
          <w:color w:val="000000"/>
          <w:sz w:val="30"/>
          <w:szCs w:val="30"/>
        </w:rPr>
        <w:t xml:space="preserve"> 根据《中华人民共和国教育法》《中华人民共和国职业教育法》《中华人民共和国高等教育法》和教育部、天津市相关规定，为了维护学院和考生的合法权益，依法招生，结合天津工业职业学院工作实际，制定本院202</w:t>
      </w:r>
      <w:r>
        <w:rPr>
          <w:rFonts w:hint="eastAsia" w:ascii="方正仿宋_GB2312" w:hAnsi="方正仿宋_GB2312" w:eastAsia="方正仿宋_GB2312" w:cs="方正仿宋_GB2312"/>
          <w:color w:val="000000"/>
          <w:sz w:val="30"/>
          <w:szCs w:val="30"/>
          <w:lang w:val="en-US" w:eastAsia="zh-CN"/>
        </w:rPr>
        <w:t>4</w:t>
      </w:r>
      <w:r>
        <w:rPr>
          <w:rFonts w:hint="eastAsia" w:ascii="方正仿宋_GB2312" w:hAnsi="方正仿宋_GB2312" w:eastAsia="方正仿宋_GB2312" w:cs="方正仿宋_GB2312"/>
          <w:color w:val="000000"/>
          <w:sz w:val="30"/>
          <w:szCs w:val="30"/>
        </w:rPr>
        <w:t>年分类考试招收普通高中毕业生招生章程。</w:t>
      </w:r>
    </w:p>
    <w:p>
      <w:pPr>
        <w:pStyle w:val="23"/>
        <w:keepNext w:val="0"/>
        <w:keepLines w:val="0"/>
        <w:pageBreakBefore w:val="0"/>
        <w:widowControl/>
        <w:kinsoku/>
        <w:overflowPunct/>
        <w:topLinePunct w:val="0"/>
        <w:autoSpaceDE/>
        <w:autoSpaceDN/>
        <w:bidi w:val="0"/>
        <w:adjustRightInd/>
        <w:snapToGrid/>
        <w:spacing w:line="360" w:lineRule="auto"/>
        <w:ind w:firstLine="602"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bCs/>
          <w:color w:val="000000"/>
          <w:sz w:val="30"/>
          <w:szCs w:val="30"/>
        </w:rPr>
        <w:t>第二条</w:t>
      </w:r>
      <w:r>
        <w:rPr>
          <w:rFonts w:hint="eastAsia" w:ascii="方正仿宋_GB2312" w:hAnsi="方正仿宋_GB2312" w:eastAsia="方正仿宋_GB2312" w:cs="方正仿宋_GB2312"/>
          <w:color w:val="000000"/>
          <w:sz w:val="30"/>
          <w:szCs w:val="30"/>
        </w:rPr>
        <w:t xml:space="preserve"> 本章程是社会了解天津工业职业学院有关招生政策、规定及相关信息的主要渠道，是学院开展招生咨询和录取工作的主要依据。</w:t>
      </w:r>
    </w:p>
    <w:p>
      <w:pPr>
        <w:pStyle w:val="23"/>
        <w:keepNext w:val="0"/>
        <w:keepLines w:val="0"/>
        <w:pageBreakBefore w:val="0"/>
        <w:widowControl/>
        <w:kinsoku/>
        <w:overflowPunct/>
        <w:topLinePunct w:val="0"/>
        <w:autoSpaceDE/>
        <w:autoSpaceDN/>
        <w:bidi w:val="0"/>
        <w:adjustRightInd/>
        <w:snapToGrid/>
        <w:spacing w:line="360" w:lineRule="auto"/>
        <w:ind w:firstLine="602"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bCs/>
          <w:color w:val="000000"/>
          <w:sz w:val="30"/>
          <w:szCs w:val="30"/>
        </w:rPr>
        <w:t xml:space="preserve">第三条 </w:t>
      </w:r>
      <w:r>
        <w:rPr>
          <w:rFonts w:hint="eastAsia" w:ascii="方正仿宋_GB2312" w:hAnsi="方正仿宋_GB2312" w:eastAsia="方正仿宋_GB2312" w:cs="方正仿宋_GB2312"/>
          <w:color w:val="000000"/>
          <w:sz w:val="30"/>
          <w:szCs w:val="30"/>
        </w:rPr>
        <w:t>学院概况</w:t>
      </w:r>
    </w:p>
    <w:p>
      <w:pPr>
        <w:pStyle w:val="23"/>
        <w:keepNext w:val="0"/>
        <w:keepLines w:val="0"/>
        <w:pageBreakBefore w:val="0"/>
        <w:widowControl/>
        <w:kinsoku/>
        <w:overflowPunct/>
        <w:topLinePunct w:val="0"/>
        <w:autoSpaceDE/>
        <w:autoSpaceDN/>
        <w:bidi w:val="0"/>
        <w:adjustRightInd/>
        <w:snapToGrid/>
        <w:spacing w:line="360" w:lineRule="auto"/>
        <w:ind w:firstLine="600"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color w:val="000000"/>
          <w:sz w:val="30"/>
          <w:szCs w:val="30"/>
        </w:rPr>
        <w:t>一、学院名称：天津工业职业学院</w:t>
      </w:r>
    </w:p>
    <w:p>
      <w:pPr>
        <w:pStyle w:val="23"/>
        <w:keepNext w:val="0"/>
        <w:keepLines w:val="0"/>
        <w:pageBreakBefore w:val="0"/>
        <w:widowControl/>
        <w:kinsoku/>
        <w:overflowPunct/>
        <w:topLinePunct w:val="0"/>
        <w:autoSpaceDE/>
        <w:autoSpaceDN/>
        <w:bidi w:val="0"/>
        <w:adjustRightInd/>
        <w:snapToGrid/>
        <w:spacing w:line="360" w:lineRule="auto"/>
        <w:ind w:firstLine="600"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color w:val="000000"/>
          <w:sz w:val="30"/>
          <w:szCs w:val="30"/>
        </w:rPr>
        <w:t>二、办学类型：公办全日制普通高等职业技术院校</w:t>
      </w:r>
    </w:p>
    <w:p>
      <w:pPr>
        <w:pStyle w:val="23"/>
        <w:keepNext w:val="0"/>
        <w:keepLines w:val="0"/>
        <w:pageBreakBefore w:val="0"/>
        <w:widowControl/>
        <w:kinsoku/>
        <w:overflowPunct/>
        <w:topLinePunct w:val="0"/>
        <w:autoSpaceDE/>
        <w:autoSpaceDN/>
        <w:bidi w:val="0"/>
        <w:adjustRightInd/>
        <w:snapToGrid/>
        <w:spacing w:line="360" w:lineRule="auto"/>
        <w:ind w:firstLine="600" w:firstLineChars="200"/>
        <w:jc w:val="left"/>
        <w:textAlignment w:val="auto"/>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color w:val="000000"/>
          <w:sz w:val="30"/>
          <w:szCs w:val="30"/>
        </w:rPr>
        <w:t>三、办学层次：高职</w:t>
      </w:r>
      <w:r>
        <w:rPr>
          <w:rFonts w:hint="eastAsia" w:ascii="方正仿宋_GB2312" w:hAnsi="方正仿宋_GB2312" w:eastAsia="方正仿宋_GB2312" w:cs="方正仿宋_GB2312"/>
          <w:color w:val="000000"/>
          <w:sz w:val="30"/>
          <w:szCs w:val="30"/>
          <w:lang w:eastAsia="zh-CN"/>
        </w:rPr>
        <w:t>（</w:t>
      </w:r>
      <w:r>
        <w:rPr>
          <w:rFonts w:hint="eastAsia" w:ascii="方正仿宋_GB2312" w:hAnsi="方正仿宋_GB2312" w:eastAsia="方正仿宋_GB2312" w:cs="方正仿宋_GB2312"/>
          <w:color w:val="000000"/>
          <w:sz w:val="30"/>
          <w:szCs w:val="30"/>
          <w:lang w:val="en-US" w:eastAsia="zh-CN"/>
        </w:rPr>
        <w:t>专科</w:t>
      </w:r>
      <w:r>
        <w:rPr>
          <w:rFonts w:hint="eastAsia" w:ascii="方正仿宋_GB2312" w:hAnsi="方正仿宋_GB2312" w:eastAsia="方正仿宋_GB2312" w:cs="方正仿宋_GB2312"/>
          <w:color w:val="000000"/>
          <w:sz w:val="30"/>
          <w:szCs w:val="30"/>
          <w:lang w:eastAsia="zh-CN"/>
        </w:rPr>
        <w:t>）</w:t>
      </w:r>
    </w:p>
    <w:p>
      <w:pPr>
        <w:pStyle w:val="23"/>
        <w:keepNext w:val="0"/>
        <w:keepLines w:val="0"/>
        <w:pageBreakBefore w:val="0"/>
        <w:widowControl/>
        <w:kinsoku/>
        <w:overflowPunct/>
        <w:topLinePunct w:val="0"/>
        <w:autoSpaceDE/>
        <w:autoSpaceDN/>
        <w:bidi w:val="0"/>
        <w:adjustRightInd/>
        <w:snapToGrid/>
        <w:spacing w:line="360" w:lineRule="auto"/>
        <w:ind w:firstLine="600"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color w:val="000000"/>
          <w:sz w:val="30"/>
          <w:szCs w:val="30"/>
        </w:rPr>
        <w:t>四、学院代码：13700（国标）</w:t>
      </w:r>
    </w:p>
    <w:p>
      <w:pPr>
        <w:pStyle w:val="23"/>
        <w:keepNext w:val="0"/>
        <w:keepLines w:val="0"/>
        <w:pageBreakBefore w:val="0"/>
        <w:widowControl/>
        <w:kinsoku/>
        <w:overflowPunct/>
        <w:topLinePunct w:val="0"/>
        <w:autoSpaceDE/>
        <w:autoSpaceDN/>
        <w:bidi w:val="0"/>
        <w:adjustRightInd/>
        <w:snapToGrid/>
        <w:spacing w:line="360" w:lineRule="auto"/>
        <w:ind w:firstLine="600"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color w:val="000000"/>
          <w:sz w:val="30"/>
          <w:szCs w:val="30"/>
        </w:rPr>
        <w:t>五、学院地址：天津市北辰区学海道38号</w:t>
      </w:r>
    </w:p>
    <w:p>
      <w:pPr>
        <w:pStyle w:val="23"/>
        <w:keepNext w:val="0"/>
        <w:keepLines w:val="0"/>
        <w:pageBreakBefore w:val="0"/>
        <w:widowControl/>
        <w:kinsoku/>
        <w:overflowPunct/>
        <w:topLinePunct w:val="0"/>
        <w:autoSpaceDE/>
        <w:autoSpaceDN/>
        <w:bidi w:val="0"/>
        <w:adjustRightInd/>
        <w:snapToGrid/>
        <w:spacing w:line="360" w:lineRule="auto"/>
        <w:ind w:firstLine="600"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color w:val="000000"/>
          <w:sz w:val="30"/>
          <w:szCs w:val="30"/>
        </w:rPr>
        <w:t>六、学院简介：</w:t>
      </w:r>
    </w:p>
    <w:p>
      <w:pPr>
        <w:pStyle w:val="23"/>
        <w:keepNext w:val="0"/>
        <w:keepLines w:val="0"/>
        <w:pageBreakBefore w:val="0"/>
        <w:widowControl/>
        <w:kinsoku/>
        <w:overflowPunct/>
        <w:topLinePunct w:val="0"/>
        <w:autoSpaceDE/>
        <w:autoSpaceDN/>
        <w:bidi w:val="0"/>
        <w:adjustRightInd/>
        <w:snapToGrid/>
        <w:spacing w:line="360" w:lineRule="auto"/>
        <w:ind w:firstLine="600" w:firstLineChars="200"/>
        <w:jc w:val="left"/>
        <w:textAlignment w:val="auto"/>
        <w:rPr>
          <w:rFonts w:hint="eastAsia" w:ascii="方正仿宋_GB2312" w:hAnsi="方正仿宋_GB2312" w:eastAsia="方正仿宋_GB2312" w:cs="方正仿宋_GB2312"/>
          <w:color w:val="000000"/>
          <w:sz w:val="30"/>
          <w:szCs w:val="30"/>
        </w:rPr>
      </w:pPr>
      <w:r>
        <w:rPr>
          <w:rFonts w:hint="eastAsia" w:ascii="方正仿宋_GB2312" w:hAnsi="方正仿宋_GB2312" w:eastAsia="方正仿宋_GB2312" w:cs="方正仿宋_GB2312"/>
          <w:color w:val="000000"/>
          <w:sz w:val="30"/>
          <w:szCs w:val="30"/>
        </w:rPr>
        <w:t>天津工业职业学院是经天津市政府批准，国家教育部备案的公办全日制普通高等院校。同时也是天津市高等职业院校提升办学水平示范院校、天津工业职业学院是经天津市政府批准，国家教育部备案的公办全日制普通高等院校。同时也是全国第二批现代学徒制试点院校</w:t>
      </w:r>
      <w:r>
        <w:rPr>
          <w:rFonts w:hint="eastAsia" w:ascii="方正仿宋_GB2312" w:hAnsi="方正仿宋_GB2312" w:eastAsia="方正仿宋_GB2312" w:cs="方正仿宋_GB2312"/>
          <w:color w:val="000000"/>
          <w:sz w:val="30"/>
          <w:szCs w:val="30"/>
          <w:lang w:val="en-US" w:eastAsia="zh-CN"/>
        </w:rPr>
        <w:t>和天津市提质培优创优赋能项目建设院校</w:t>
      </w:r>
      <w:r>
        <w:rPr>
          <w:rFonts w:hint="eastAsia" w:ascii="方正仿宋_GB2312" w:hAnsi="方正仿宋_GB2312" w:eastAsia="方正仿宋_GB2312" w:cs="方正仿宋_GB2312"/>
          <w:color w:val="000000"/>
          <w:sz w:val="30"/>
          <w:szCs w:val="30"/>
        </w:rPr>
        <w:t>。学院设有资源环境类、能源材料类、土木建筑类、机械制造类、电子信息类、财经商贸类等六大类28个专业，紧紧围绕高端制造业、战略性新兴产业和现代服务业，推动教育链与产业链的深度融合，其中</w:t>
      </w:r>
      <w:r>
        <w:rPr>
          <w:rFonts w:hint="eastAsia" w:ascii="方正仿宋_GB2312" w:hAnsi="方正仿宋_GB2312" w:eastAsia="方正仿宋_GB2312" w:cs="方正仿宋_GB2312"/>
          <w:color w:val="000000"/>
          <w:sz w:val="30"/>
          <w:szCs w:val="30"/>
          <w:lang w:val="en-US" w:eastAsia="zh-CN"/>
        </w:rPr>
        <w:t>钢铁智能冶金技术专业群为天津市高水平专业群，</w:t>
      </w:r>
      <w:r>
        <w:rPr>
          <w:rFonts w:hint="eastAsia" w:ascii="方正仿宋_GB2312" w:hAnsi="方正仿宋_GB2312" w:eastAsia="方正仿宋_GB2312" w:cs="方正仿宋_GB2312"/>
          <w:color w:val="000000"/>
          <w:sz w:val="30"/>
          <w:szCs w:val="30"/>
        </w:rPr>
        <w:t>钢铁智能冶金技术专业是中央财政支持重点建设专业，信息安全技术应用、建筑智能化工程技术专业为现代学徒制试点专业。机电一体化技术、信息安全技术应用、电子商务、电气自动化技术、大数据与会计、电子信息工程技术专业是</w:t>
      </w:r>
      <w:r>
        <w:rPr>
          <w:rFonts w:hint="eastAsia" w:ascii="方正仿宋_GB2312" w:hAnsi="方正仿宋_GB2312" w:eastAsia="方正仿宋_GB2312" w:cs="方正仿宋_GB2312"/>
          <w:color w:val="000000"/>
          <w:sz w:val="30"/>
          <w:szCs w:val="30"/>
          <w:lang w:val="en-US" w:eastAsia="zh-CN"/>
        </w:rPr>
        <w:t>学院</w:t>
      </w:r>
      <w:r>
        <w:rPr>
          <w:rFonts w:hint="eastAsia" w:ascii="方正仿宋_GB2312" w:hAnsi="方正仿宋_GB2312" w:eastAsia="方正仿宋_GB2312" w:cs="方正仿宋_GB2312"/>
          <w:color w:val="000000"/>
          <w:sz w:val="30"/>
          <w:szCs w:val="30"/>
        </w:rPr>
        <w:t>重点建设专业，云计算技术应用、大数据技术、智能互联网络技术、工业机器人技术专业是院级特色建设专业</w:t>
      </w:r>
      <w:r>
        <w:rPr>
          <w:rFonts w:hint="eastAsia" w:ascii="方正仿宋_GB2312" w:hAnsi="方正仿宋_GB2312" w:eastAsia="方正仿宋_GB2312" w:cs="方正仿宋_GB2312"/>
          <w:color w:val="000000"/>
          <w:sz w:val="30"/>
          <w:szCs w:val="30"/>
          <w:lang w:eastAsia="zh-CN"/>
        </w:rPr>
        <w:t>。</w:t>
      </w:r>
    </w:p>
    <w:p>
      <w:pPr>
        <w:pStyle w:val="23"/>
        <w:keepNext w:val="0"/>
        <w:keepLines w:val="0"/>
        <w:pageBreakBefore w:val="0"/>
        <w:widowControl/>
        <w:kinsoku/>
        <w:overflowPunct/>
        <w:topLinePunct w:val="0"/>
        <w:autoSpaceDE/>
        <w:autoSpaceDN/>
        <w:bidi w:val="0"/>
        <w:adjustRightInd/>
        <w:snapToGrid/>
        <w:spacing w:line="360" w:lineRule="auto"/>
        <w:ind w:firstLine="600" w:firstLineChars="200"/>
        <w:jc w:val="left"/>
        <w:textAlignment w:val="auto"/>
        <w:rPr>
          <w:rFonts w:hint="eastAsia"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学院具有博士、硕士学位教师占专任教师总数的62.3%，具有高级以上专业技术职务的教师占专任教师总数的33.6%，“双师型”教师占专任教师总数的43.8%。</w:t>
      </w:r>
    </w:p>
    <w:p>
      <w:pPr>
        <w:pStyle w:val="23"/>
        <w:keepNext w:val="0"/>
        <w:keepLines w:val="0"/>
        <w:pageBreakBefore w:val="0"/>
        <w:widowControl/>
        <w:kinsoku/>
        <w:overflowPunct/>
        <w:topLinePunct w:val="0"/>
        <w:autoSpaceDE/>
        <w:autoSpaceDN/>
        <w:bidi w:val="0"/>
        <w:adjustRightInd/>
        <w:snapToGrid/>
        <w:spacing w:line="360" w:lineRule="auto"/>
        <w:ind w:firstLine="600" w:firstLineChars="200"/>
        <w:jc w:val="left"/>
        <w:textAlignment w:val="auto"/>
        <w:rPr>
          <w:rFonts w:hint="eastAsia"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学院拥有智慧城市实训室、智能制造实训中心、网络攻防与测评实训室、智慧无人机实训室、水环境监测与治理等共109个专业实训室。实训室建设适应现代智能制造产业转型、升级，突出生产性教学与先进企业生产技术的衔接，开设的实训项目与智能制造、大数据等高端技术产业集群相对接，有效提升了人才培养能力。</w:t>
      </w:r>
    </w:p>
    <w:p>
      <w:pPr>
        <w:pStyle w:val="23"/>
        <w:keepNext w:val="0"/>
        <w:keepLines w:val="0"/>
        <w:pageBreakBefore w:val="0"/>
        <w:widowControl/>
        <w:kinsoku/>
        <w:overflowPunct/>
        <w:topLinePunct w:val="0"/>
        <w:autoSpaceDE/>
        <w:autoSpaceDN/>
        <w:bidi w:val="0"/>
        <w:adjustRightInd/>
        <w:snapToGrid/>
        <w:spacing w:line="360" w:lineRule="auto"/>
        <w:ind w:firstLine="600" w:firstLineChars="200"/>
        <w:jc w:val="left"/>
        <w:textAlignment w:val="auto"/>
        <w:rPr>
          <w:rFonts w:hint="eastAsia"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学院注重学生综合职业素质和实践技能培养。近年，在全国和天津市举办的各类技能竞赛中，学院300余名学生获奖。</w:t>
      </w:r>
    </w:p>
    <w:p>
      <w:pPr>
        <w:keepNext w:val="0"/>
        <w:keepLines w:val="0"/>
        <w:pageBreakBefore w:val="0"/>
        <w:widowControl/>
        <w:kinsoku/>
        <w:overflowPunct/>
        <w:topLinePunct w:val="0"/>
        <w:autoSpaceDE/>
        <w:autoSpaceDN/>
        <w:bidi w:val="0"/>
        <w:adjustRightInd/>
        <w:snapToGrid/>
        <w:ind w:firstLine="600" w:firstLineChars="200"/>
        <w:textAlignment w:val="auto"/>
        <w:rPr>
          <w:rFonts w:hint="eastAsia" w:ascii="方正仿宋_GB2312" w:hAnsi="方正仿宋_GB2312" w:eastAsia="方正仿宋_GB2312" w:cs="方正仿宋_GB2312"/>
          <w:color w:val="000000"/>
          <w:sz w:val="30"/>
          <w:szCs w:val="30"/>
        </w:rPr>
      </w:pPr>
      <w:r>
        <w:rPr>
          <w:rFonts w:hint="eastAsia" w:ascii="方正仿宋_GB2312" w:hAnsi="方正仿宋_GB2312" w:eastAsia="方正仿宋_GB2312" w:cs="方正仿宋_GB2312"/>
          <w:color w:val="000000"/>
          <w:sz w:val="30"/>
          <w:szCs w:val="30"/>
        </w:rPr>
        <w:t>学院毕业生技术技能强、综合素质高，深受用人单位青睐。学院与中天钢铁集团有限公司、江苏沙钢集团有限公司、天津电装电子有限公司、ＳＭＣ（天津）制造有限公司、天津力神电池股份有限公司、天津三星视界有限公司、天津市新天钢钢铁集团有限公司等众多百强企业建立了稳定的就业合作关系。一对一的为毕业生提供充足就业选择，确保毕业生优质就业。</w:t>
      </w:r>
    </w:p>
    <w:p>
      <w:pPr>
        <w:pStyle w:val="23"/>
        <w:keepNext w:val="0"/>
        <w:keepLines w:val="0"/>
        <w:pageBreakBefore w:val="0"/>
        <w:widowControl/>
        <w:kinsoku/>
        <w:overflowPunct/>
        <w:topLinePunct w:val="0"/>
        <w:autoSpaceDE/>
        <w:autoSpaceDN/>
        <w:bidi w:val="0"/>
        <w:adjustRightInd/>
        <w:snapToGrid/>
        <w:spacing w:line="360" w:lineRule="auto"/>
        <w:ind w:firstLine="600" w:firstLineChars="200"/>
        <w:jc w:val="center"/>
        <w:textAlignment w:val="auto"/>
        <w:rPr>
          <w:rFonts w:hint="eastAsia" w:ascii="方正仿宋_GB2312" w:hAnsi="方正仿宋_GB2312" w:eastAsia="方正仿宋_GB2312" w:cs="方正仿宋_GB2312"/>
          <w:color w:val="000000"/>
          <w:sz w:val="30"/>
          <w:szCs w:val="30"/>
        </w:rPr>
      </w:pPr>
      <w:r>
        <w:rPr>
          <w:rFonts w:hint="eastAsia" w:ascii="方正仿宋_GB2312" w:hAnsi="方正仿宋_GB2312" w:eastAsia="方正仿宋_GB2312" w:cs="方正仿宋_GB2312"/>
          <w:color w:val="000000"/>
          <w:sz w:val="30"/>
          <w:szCs w:val="30"/>
        </w:rPr>
        <w:t>第二章 招生机构与监督机制</w:t>
      </w:r>
    </w:p>
    <w:p>
      <w:pPr>
        <w:pStyle w:val="23"/>
        <w:keepNext w:val="0"/>
        <w:keepLines w:val="0"/>
        <w:pageBreakBefore w:val="0"/>
        <w:widowControl/>
        <w:kinsoku/>
        <w:overflowPunct/>
        <w:topLinePunct w:val="0"/>
        <w:autoSpaceDE/>
        <w:autoSpaceDN/>
        <w:bidi w:val="0"/>
        <w:adjustRightInd/>
        <w:snapToGrid/>
        <w:spacing w:line="360" w:lineRule="auto"/>
        <w:ind w:firstLine="600"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color w:val="000000"/>
          <w:sz w:val="30"/>
          <w:szCs w:val="30"/>
        </w:rPr>
        <w:t>第四条 天津工业职业学院设有招生工作领导小组，全面负责学院招生工作，研究制定招生政策、招生计划，讨论、决定招生工作重大事宜。</w:t>
      </w:r>
    </w:p>
    <w:p>
      <w:pPr>
        <w:pStyle w:val="23"/>
        <w:keepNext w:val="0"/>
        <w:keepLines w:val="0"/>
        <w:pageBreakBefore w:val="0"/>
        <w:widowControl/>
        <w:kinsoku/>
        <w:overflowPunct/>
        <w:topLinePunct w:val="0"/>
        <w:autoSpaceDE/>
        <w:autoSpaceDN/>
        <w:bidi w:val="0"/>
        <w:adjustRightInd/>
        <w:snapToGrid/>
        <w:spacing w:line="360" w:lineRule="auto"/>
        <w:ind w:firstLine="600"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color w:val="000000"/>
          <w:sz w:val="30"/>
          <w:szCs w:val="30"/>
        </w:rPr>
        <w:t>第五条 天津工业职业学院</w:t>
      </w:r>
      <w:r>
        <w:rPr>
          <w:rFonts w:hint="eastAsia" w:ascii="方正仿宋_GB2312" w:hAnsi="方正仿宋_GB2312" w:eastAsia="方正仿宋_GB2312" w:cs="方正仿宋_GB2312"/>
          <w:color w:val="000000"/>
          <w:sz w:val="30"/>
          <w:szCs w:val="30"/>
          <w:lang w:val="en-US" w:eastAsia="zh-CN"/>
        </w:rPr>
        <w:t>招生就业指导办公室</w:t>
      </w:r>
      <w:r>
        <w:rPr>
          <w:rFonts w:hint="eastAsia" w:ascii="方正仿宋_GB2312" w:hAnsi="方正仿宋_GB2312" w:eastAsia="方正仿宋_GB2312" w:cs="方正仿宋_GB2312"/>
          <w:color w:val="000000"/>
          <w:sz w:val="30"/>
          <w:szCs w:val="30"/>
        </w:rPr>
        <w:t>，是组织和实施招生及其相关工作的常设机构，具体负责招生日常工作。学院成立招生工作监督小组，负责监督整个招生过程，确保我院招生工作公平、公正、公开，并接受社会监督。</w:t>
      </w:r>
    </w:p>
    <w:p>
      <w:pPr>
        <w:pStyle w:val="23"/>
        <w:keepNext w:val="0"/>
        <w:keepLines w:val="0"/>
        <w:pageBreakBefore w:val="0"/>
        <w:widowControl/>
        <w:kinsoku/>
        <w:overflowPunct/>
        <w:topLinePunct w:val="0"/>
        <w:autoSpaceDE/>
        <w:autoSpaceDN/>
        <w:bidi w:val="0"/>
        <w:adjustRightInd/>
        <w:snapToGrid/>
        <w:spacing w:line="360" w:lineRule="auto"/>
        <w:ind w:firstLine="600" w:firstLineChars="200"/>
        <w:jc w:val="center"/>
        <w:textAlignment w:val="auto"/>
        <w:rPr>
          <w:rFonts w:hint="eastAsia" w:ascii="方正公文黑体" w:hAnsi="方正公文黑体" w:eastAsia="方正公文黑体" w:cs="方正公文黑体"/>
          <w:b w:val="0"/>
          <w:bCs w:val="0"/>
          <w:color w:val="000000"/>
          <w:sz w:val="30"/>
          <w:szCs w:val="30"/>
        </w:rPr>
      </w:pPr>
      <w:r>
        <w:rPr>
          <w:rFonts w:hint="eastAsia" w:ascii="方正公文黑体" w:hAnsi="方正公文黑体" w:eastAsia="方正公文黑体" w:cs="方正公文黑体"/>
          <w:b w:val="0"/>
          <w:bCs w:val="0"/>
          <w:color w:val="000000"/>
          <w:sz w:val="30"/>
          <w:szCs w:val="30"/>
        </w:rPr>
        <w:t>第三章 招生计划及收费标准</w:t>
      </w:r>
    </w:p>
    <w:p>
      <w:pPr>
        <w:pStyle w:val="23"/>
        <w:keepNext w:val="0"/>
        <w:keepLines w:val="0"/>
        <w:pageBreakBefore w:val="0"/>
        <w:widowControl/>
        <w:kinsoku/>
        <w:overflowPunct/>
        <w:topLinePunct w:val="0"/>
        <w:autoSpaceDE/>
        <w:autoSpaceDN/>
        <w:bidi w:val="0"/>
        <w:adjustRightInd/>
        <w:snapToGrid/>
        <w:spacing w:line="360" w:lineRule="auto"/>
        <w:ind w:firstLine="602"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bCs/>
          <w:color w:val="000000"/>
          <w:sz w:val="30"/>
          <w:szCs w:val="30"/>
        </w:rPr>
        <w:t>第六条</w:t>
      </w:r>
      <w:r>
        <w:rPr>
          <w:rFonts w:hint="eastAsia" w:ascii="方正仿宋_GB2312" w:hAnsi="方正仿宋_GB2312" w:eastAsia="方正仿宋_GB2312" w:cs="方正仿宋_GB2312"/>
          <w:color w:val="000000"/>
          <w:sz w:val="30"/>
          <w:szCs w:val="30"/>
        </w:rPr>
        <w:t xml:space="preserve"> 天津工业职业学院根据发展规划、办学条件和社会需求，制定202</w:t>
      </w:r>
      <w:r>
        <w:rPr>
          <w:rFonts w:hint="eastAsia" w:ascii="方正仿宋_GB2312" w:hAnsi="方正仿宋_GB2312" w:eastAsia="方正仿宋_GB2312" w:cs="方正仿宋_GB2312"/>
          <w:color w:val="000000"/>
          <w:sz w:val="30"/>
          <w:szCs w:val="30"/>
          <w:lang w:val="en-US" w:eastAsia="zh-CN"/>
        </w:rPr>
        <w:t>4</w:t>
      </w:r>
      <w:r>
        <w:rPr>
          <w:rFonts w:hint="eastAsia" w:ascii="方正仿宋_GB2312" w:hAnsi="方正仿宋_GB2312" w:eastAsia="方正仿宋_GB2312" w:cs="方正仿宋_GB2312"/>
          <w:color w:val="000000"/>
          <w:sz w:val="30"/>
          <w:szCs w:val="30"/>
        </w:rPr>
        <w:t>年高职分类考试招收普通高中毕业生专业计划。具体专业计划详见《202</w:t>
      </w:r>
      <w:r>
        <w:rPr>
          <w:rFonts w:hint="eastAsia" w:ascii="方正仿宋_GB2312" w:hAnsi="方正仿宋_GB2312" w:eastAsia="方正仿宋_GB2312" w:cs="方正仿宋_GB2312"/>
          <w:color w:val="000000"/>
          <w:sz w:val="30"/>
          <w:szCs w:val="30"/>
          <w:lang w:val="en-US" w:eastAsia="zh-CN"/>
        </w:rPr>
        <w:t>4</w:t>
      </w:r>
      <w:r>
        <w:rPr>
          <w:rFonts w:hint="eastAsia" w:ascii="方正仿宋_GB2312" w:hAnsi="方正仿宋_GB2312" w:eastAsia="方正仿宋_GB2312" w:cs="方正仿宋_GB2312"/>
          <w:color w:val="000000"/>
          <w:sz w:val="30"/>
          <w:szCs w:val="30"/>
        </w:rPr>
        <w:t>年天津市分类考试招收普通高中毕业生专业计划》，或登录天津招考资讯网（www.zhaokao.net）和我院网站（</w:t>
      </w:r>
      <w:r>
        <w:rPr>
          <w:rFonts w:hint="eastAsia" w:ascii="方正仿宋_GB2312" w:hAnsi="方正仿宋_GB2312" w:eastAsia="方正仿宋_GB2312" w:cs="方正仿宋_GB2312"/>
          <w:sz w:val="30"/>
          <w:szCs w:val="30"/>
        </w:rPr>
        <w:fldChar w:fldCharType="begin"/>
      </w:r>
      <w:r>
        <w:rPr>
          <w:rFonts w:hint="eastAsia" w:ascii="方正仿宋_GB2312" w:hAnsi="方正仿宋_GB2312" w:eastAsia="方正仿宋_GB2312" w:cs="方正仿宋_GB2312"/>
          <w:sz w:val="30"/>
          <w:szCs w:val="30"/>
        </w:rPr>
        <w:instrText xml:space="preserve"> HYPERLINK "http://www.pctj.edu.cn/" \h </w:instrText>
      </w:r>
      <w:r>
        <w:rPr>
          <w:rFonts w:hint="eastAsia" w:ascii="方正仿宋_GB2312" w:hAnsi="方正仿宋_GB2312" w:eastAsia="方正仿宋_GB2312" w:cs="方正仿宋_GB2312"/>
          <w:sz w:val="30"/>
          <w:szCs w:val="30"/>
        </w:rPr>
        <w:fldChar w:fldCharType="separate"/>
      </w:r>
      <w:r>
        <w:rPr>
          <w:rStyle w:val="30"/>
          <w:rFonts w:hint="eastAsia" w:ascii="方正仿宋_GB2312" w:hAnsi="方正仿宋_GB2312" w:eastAsia="方正仿宋_GB2312" w:cs="方正仿宋_GB2312"/>
          <w:color w:val="auto"/>
          <w:sz w:val="30"/>
          <w:szCs w:val="30"/>
          <w:u w:val="none"/>
        </w:rPr>
        <w:t>www.pctj.edu.cn</w:t>
      </w:r>
      <w:r>
        <w:rPr>
          <w:rStyle w:val="30"/>
          <w:rFonts w:hint="eastAsia" w:ascii="方正仿宋_GB2312" w:hAnsi="方正仿宋_GB2312" w:eastAsia="方正仿宋_GB2312" w:cs="方正仿宋_GB2312"/>
          <w:color w:val="auto"/>
          <w:sz w:val="30"/>
          <w:szCs w:val="30"/>
          <w:u w:val="none"/>
        </w:rPr>
        <w:fldChar w:fldCharType="end"/>
      </w:r>
      <w:r>
        <w:rPr>
          <w:rFonts w:hint="eastAsia" w:ascii="方正仿宋_GB2312" w:hAnsi="方正仿宋_GB2312" w:eastAsia="方正仿宋_GB2312" w:cs="方正仿宋_GB2312"/>
          <w:color w:val="000000"/>
          <w:sz w:val="30"/>
          <w:szCs w:val="30"/>
        </w:rPr>
        <w:t>）。</w:t>
      </w:r>
    </w:p>
    <w:p>
      <w:pPr>
        <w:pStyle w:val="23"/>
        <w:keepNext w:val="0"/>
        <w:keepLines w:val="0"/>
        <w:pageBreakBefore w:val="0"/>
        <w:widowControl/>
        <w:kinsoku/>
        <w:overflowPunct/>
        <w:topLinePunct w:val="0"/>
        <w:autoSpaceDE/>
        <w:autoSpaceDN/>
        <w:bidi w:val="0"/>
        <w:adjustRightInd/>
        <w:snapToGrid/>
        <w:spacing w:line="360" w:lineRule="auto"/>
        <w:ind w:firstLine="602" w:firstLineChars="200"/>
        <w:jc w:val="left"/>
        <w:textAlignment w:val="auto"/>
        <w:rPr>
          <w:rFonts w:hint="eastAsia" w:ascii="方正仿宋_GB2312" w:hAnsi="方正仿宋_GB2312" w:eastAsia="方正仿宋_GB2312" w:cs="方正仿宋_GB2312"/>
          <w:color w:val="000000"/>
          <w:sz w:val="30"/>
          <w:szCs w:val="30"/>
        </w:rPr>
      </w:pPr>
      <w:r>
        <w:rPr>
          <w:rFonts w:hint="eastAsia" w:ascii="方正仿宋_GB2312" w:hAnsi="方正仿宋_GB2312" w:eastAsia="方正仿宋_GB2312" w:cs="方正仿宋_GB2312"/>
          <w:b/>
          <w:bCs/>
          <w:color w:val="000000"/>
          <w:sz w:val="30"/>
          <w:szCs w:val="30"/>
        </w:rPr>
        <w:t>第七条</w:t>
      </w:r>
      <w:r>
        <w:rPr>
          <w:rFonts w:hint="eastAsia" w:ascii="方正仿宋_GB2312" w:hAnsi="方正仿宋_GB2312" w:eastAsia="方正仿宋_GB2312" w:cs="方正仿宋_GB2312"/>
          <w:color w:val="000000"/>
          <w:sz w:val="30"/>
          <w:szCs w:val="30"/>
        </w:rPr>
        <w:t xml:space="preserve"> 收费标准</w:t>
      </w:r>
    </w:p>
    <w:p>
      <w:pPr>
        <w:pStyle w:val="23"/>
        <w:keepNext w:val="0"/>
        <w:keepLines w:val="0"/>
        <w:pageBreakBefore w:val="0"/>
        <w:widowControl/>
        <w:kinsoku/>
        <w:overflowPunct/>
        <w:topLinePunct w:val="0"/>
        <w:autoSpaceDE/>
        <w:autoSpaceDN/>
        <w:bidi w:val="0"/>
        <w:adjustRightInd/>
        <w:snapToGrid/>
        <w:spacing w:line="360" w:lineRule="auto"/>
        <w:ind w:firstLine="600" w:firstLineChars="200"/>
        <w:jc w:val="left"/>
        <w:textAlignment w:val="auto"/>
        <w:rPr>
          <w:rFonts w:hint="eastAsia" w:ascii="方正仿宋_GB2312" w:hAnsi="方正仿宋_GB2312" w:eastAsia="方正仿宋_GB2312" w:cs="方正仿宋_GB2312"/>
          <w:color w:val="000000"/>
          <w:sz w:val="30"/>
          <w:szCs w:val="30"/>
          <w:lang w:eastAsia="zh-CN"/>
        </w:rPr>
      </w:pPr>
      <w:r>
        <w:rPr>
          <w:rFonts w:hint="eastAsia" w:ascii="方正仿宋_GB2312" w:hAnsi="方正仿宋_GB2312" w:eastAsia="方正仿宋_GB2312" w:cs="方正仿宋_GB2312"/>
          <w:color w:val="000000"/>
          <w:sz w:val="30"/>
          <w:szCs w:val="30"/>
        </w:rPr>
        <w:t>①学费标准</w:t>
      </w:r>
      <w:r>
        <w:rPr>
          <w:rFonts w:hint="eastAsia" w:ascii="方正仿宋_GB2312" w:hAnsi="方正仿宋_GB2312" w:eastAsia="方正仿宋_GB2312" w:cs="方正仿宋_GB2312"/>
          <w:color w:val="000000"/>
          <w:sz w:val="30"/>
          <w:szCs w:val="30"/>
          <w:lang w:eastAsia="zh-CN"/>
        </w:rPr>
        <w:t>：</w:t>
      </w:r>
      <w:r>
        <w:rPr>
          <w:rFonts w:hint="eastAsia" w:ascii="方正仿宋_GB2312" w:hAnsi="方正仿宋_GB2312" w:eastAsia="方正仿宋_GB2312" w:cs="方正仿宋_GB2312"/>
          <w:color w:val="000000"/>
          <w:sz w:val="30"/>
          <w:szCs w:val="30"/>
        </w:rPr>
        <w:t>经天津市主管部门批准，学费标准为5000-5500元/生·年</w:t>
      </w:r>
      <w:r>
        <w:rPr>
          <w:rFonts w:hint="eastAsia" w:ascii="方正仿宋_GB2312" w:hAnsi="方正仿宋_GB2312" w:eastAsia="方正仿宋_GB2312" w:cs="方正仿宋_GB2312"/>
          <w:color w:val="000000"/>
          <w:sz w:val="30"/>
          <w:szCs w:val="30"/>
          <w:lang w:eastAsia="zh-CN"/>
        </w:rPr>
        <w:t>。</w:t>
      </w:r>
    </w:p>
    <w:p>
      <w:pPr>
        <w:pStyle w:val="23"/>
        <w:keepNext w:val="0"/>
        <w:keepLines w:val="0"/>
        <w:pageBreakBefore w:val="0"/>
        <w:widowControl/>
        <w:kinsoku/>
        <w:overflowPunct/>
        <w:topLinePunct w:val="0"/>
        <w:autoSpaceDE/>
        <w:autoSpaceDN/>
        <w:bidi w:val="0"/>
        <w:adjustRightInd/>
        <w:snapToGrid/>
        <w:spacing w:line="360" w:lineRule="auto"/>
        <w:ind w:firstLine="600" w:firstLineChars="200"/>
        <w:jc w:val="left"/>
        <w:textAlignment w:val="auto"/>
        <w:rPr>
          <w:rFonts w:hint="eastAsia" w:ascii="方正仿宋_GB2312" w:hAnsi="方正仿宋_GB2312" w:eastAsia="方正仿宋_GB2312" w:cs="方正仿宋_GB2312"/>
          <w:color w:val="000000"/>
          <w:sz w:val="30"/>
          <w:szCs w:val="30"/>
        </w:rPr>
      </w:pPr>
      <w:r>
        <w:rPr>
          <w:rFonts w:hint="eastAsia" w:ascii="方正仿宋_GB2312" w:hAnsi="方正仿宋_GB2312" w:eastAsia="方正仿宋_GB2312" w:cs="方正仿宋_GB2312"/>
          <w:color w:val="000000"/>
          <w:sz w:val="30"/>
          <w:szCs w:val="30"/>
        </w:rPr>
        <w:t>②住宿费标准：4人间住宿费为每生每学年1000元；6人间住宿费为每生每学年700元；8人间住宿费为每生每学年600元。以上收费标准如有调整，最终价格以主管部门批准的文件执行。</w:t>
      </w:r>
    </w:p>
    <w:p>
      <w:pPr>
        <w:pStyle w:val="23"/>
        <w:keepNext w:val="0"/>
        <w:keepLines w:val="0"/>
        <w:pageBreakBefore w:val="0"/>
        <w:widowControl/>
        <w:kinsoku/>
        <w:overflowPunct/>
        <w:topLinePunct w:val="0"/>
        <w:autoSpaceDE/>
        <w:autoSpaceDN/>
        <w:bidi w:val="0"/>
        <w:adjustRightInd/>
        <w:snapToGrid/>
        <w:spacing w:line="360" w:lineRule="auto"/>
        <w:ind w:firstLine="600" w:firstLineChars="200"/>
        <w:jc w:val="center"/>
        <w:textAlignment w:val="auto"/>
        <w:rPr>
          <w:rFonts w:hint="eastAsia" w:ascii="方正公文黑体" w:hAnsi="方正公文黑体" w:eastAsia="方正公文黑体" w:cs="方正公文黑体"/>
          <w:b w:val="0"/>
          <w:bCs w:val="0"/>
          <w:color w:val="000000"/>
          <w:sz w:val="30"/>
          <w:szCs w:val="30"/>
        </w:rPr>
      </w:pPr>
      <w:r>
        <w:rPr>
          <w:rFonts w:hint="eastAsia" w:ascii="方正公文黑体" w:hAnsi="方正公文黑体" w:eastAsia="方正公文黑体" w:cs="方正公文黑体"/>
          <w:b w:val="0"/>
          <w:bCs w:val="0"/>
          <w:color w:val="000000"/>
          <w:sz w:val="30"/>
          <w:szCs w:val="30"/>
        </w:rPr>
        <w:t>第四章 录取规则</w:t>
      </w:r>
    </w:p>
    <w:p>
      <w:pPr>
        <w:pStyle w:val="23"/>
        <w:keepNext w:val="0"/>
        <w:keepLines w:val="0"/>
        <w:pageBreakBefore w:val="0"/>
        <w:widowControl/>
        <w:kinsoku/>
        <w:overflowPunct/>
        <w:topLinePunct w:val="0"/>
        <w:autoSpaceDE/>
        <w:autoSpaceDN/>
        <w:bidi w:val="0"/>
        <w:adjustRightInd/>
        <w:snapToGrid/>
        <w:spacing w:line="360" w:lineRule="auto"/>
        <w:ind w:firstLine="602"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bCs/>
          <w:color w:val="000000"/>
          <w:sz w:val="30"/>
          <w:szCs w:val="30"/>
        </w:rPr>
        <w:t>第八条</w:t>
      </w:r>
      <w:r>
        <w:rPr>
          <w:rFonts w:hint="eastAsia" w:ascii="方正仿宋_GB2312" w:hAnsi="方正仿宋_GB2312" w:eastAsia="方正仿宋_GB2312" w:cs="方正仿宋_GB2312"/>
          <w:color w:val="000000"/>
          <w:sz w:val="30"/>
          <w:szCs w:val="30"/>
        </w:rPr>
        <w:t xml:space="preserve"> 天津工业职业学院录取工作遵循公平竞争、公开选拔、公开程序的原则，执行国家教育部和天津市招生委员会制定的录取政策以及本章程公布的有关规定。录取过程中自觉接受天津市招生委员会、纪检监察部门、考生和社会各界的监督。</w:t>
      </w:r>
    </w:p>
    <w:p>
      <w:pPr>
        <w:pStyle w:val="23"/>
        <w:keepNext w:val="0"/>
        <w:keepLines w:val="0"/>
        <w:pageBreakBefore w:val="0"/>
        <w:widowControl/>
        <w:kinsoku/>
        <w:overflowPunct/>
        <w:topLinePunct w:val="0"/>
        <w:autoSpaceDE/>
        <w:autoSpaceDN/>
        <w:bidi w:val="0"/>
        <w:adjustRightInd/>
        <w:snapToGrid/>
        <w:spacing w:line="360" w:lineRule="auto"/>
        <w:ind w:firstLine="602"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bCs/>
          <w:color w:val="000000"/>
          <w:sz w:val="30"/>
          <w:szCs w:val="30"/>
        </w:rPr>
        <w:t>第九条</w:t>
      </w:r>
      <w:r>
        <w:rPr>
          <w:rFonts w:hint="eastAsia" w:ascii="方正仿宋_GB2312" w:hAnsi="方正仿宋_GB2312" w:eastAsia="方正仿宋_GB2312" w:cs="方正仿宋_GB2312"/>
          <w:color w:val="000000"/>
          <w:sz w:val="30"/>
          <w:szCs w:val="30"/>
        </w:rPr>
        <w:t xml:space="preserve"> 根据《202</w:t>
      </w:r>
      <w:r>
        <w:rPr>
          <w:rFonts w:hint="eastAsia" w:ascii="方正仿宋_GB2312" w:hAnsi="方正仿宋_GB2312" w:eastAsia="方正仿宋_GB2312" w:cs="方正仿宋_GB2312"/>
          <w:color w:val="000000"/>
          <w:sz w:val="30"/>
          <w:szCs w:val="30"/>
          <w:lang w:val="en-US" w:eastAsia="zh-CN"/>
        </w:rPr>
        <w:t>4</w:t>
      </w:r>
      <w:r>
        <w:rPr>
          <w:rFonts w:hint="eastAsia" w:ascii="方正仿宋_GB2312" w:hAnsi="方正仿宋_GB2312" w:eastAsia="方正仿宋_GB2312" w:cs="方正仿宋_GB2312"/>
          <w:color w:val="000000"/>
          <w:sz w:val="30"/>
          <w:szCs w:val="30"/>
        </w:rPr>
        <w:t>年天津市高职院校分类考试招生实施办法》相关规定，已被我院录取的考生仍可参加天津市202</w:t>
      </w:r>
      <w:r>
        <w:rPr>
          <w:rFonts w:hint="eastAsia" w:ascii="方正仿宋_GB2312" w:hAnsi="方正仿宋_GB2312" w:eastAsia="方正仿宋_GB2312" w:cs="方正仿宋_GB2312"/>
          <w:color w:val="000000"/>
          <w:sz w:val="30"/>
          <w:szCs w:val="30"/>
          <w:lang w:val="en-US" w:eastAsia="zh-CN"/>
        </w:rPr>
        <w:t>4</w:t>
      </w:r>
      <w:r>
        <w:rPr>
          <w:rFonts w:hint="eastAsia" w:ascii="方正仿宋_GB2312" w:hAnsi="方正仿宋_GB2312" w:eastAsia="方正仿宋_GB2312" w:cs="方正仿宋_GB2312"/>
          <w:color w:val="000000"/>
          <w:sz w:val="30"/>
          <w:szCs w:val="30"/>
        </w:rPr>
        <w:t>年普通高考本科批阶段的录取，但不再参加高职（专科）阶段的录取，未录取的考生可继续参加202</w:t>
      </w:r>
      <w:r>
        <w:rPr>
          <w:rFonts w:hint="eastAsia" w:ascii="方正仿宋_GB2312" w:hAnsi="方正仿宋_GB2312" w:eastAsia="方正仿宋_GB2312" w:cs="方正仿宋_GB2312"/>
          <w:color w:val="000000"/>
          <w:sz w:val="30"/>
          <w:szCs w:val="30"/>
          <w:lang w:val="en-US" w:eastAsia="zh-CN"/>
        </w:rPr>
        <w:t>4</w:t>
      </w:r>
      <w:r>
        <w:rPr>
          <w:rFonts w:hint="eastAsia" w:ascii="方正仿宋_GB2312" w:hAnsi="方正仿宋_GB2312" w:eastAsia="方正仿宋_GB2312" w:cs="方正仿宋_GB2312"/>
          <w:color w:val="000000"/>
          <w:sz w:val="30"/>
          <w:szCs w:val="30"/>
        </w:rPr>
        <w:t>年普通高考各批次录取。已被我院录取的考生，同时又被普通高考本科层次院校录取，教育主管部门在进行电子学籍注册时，只保留其普通高考本科层次院校录取资格，分类考试招生的录取资格将予注销。我院春季录取的普通高中毕业生与全国普通高考录取的学生享受同等待遇。</w:t>
      </w:r>
    </w:p>
    <w:p>
      <w:pPr>
        <w:pStyle w:val="23"/>
        <w:keepNext w:val="0"/>
        <w:keepLines w:val="0"/>
        <w:pageBreakBefore w:val="0"/>
        <w:widowControl/>
        <w:kinsoku/>
        <w:overflowPunct/>
        <w:topLinePunct w:val="0"/>
        <w:autoSpaceDE/>
        <w:autoSpaceDN/>
        <w:bidi w:val="0"/>
        <w:adjustRightInd/>
        <w:snapToGrid/>
        <w:spacing w:line="360" w:lineRule="auto"/>
        <w:ind w:firstLine="602" w:firstLineChars="200"/>
        <w:jc w:val="left"/>
        <w:textAlignment w:val="auto"/>
        <w:rPr>
          <w:rFonts w:hint="eastAsia" w:ascii="方正仿宋_GB2312" w:hAnsi="方正仿宋_GB2312" w:eastAsia="方正仿宋_GB2312" w:cs="方正仿宋_GB2312"/>
          <w:color w:val="000000"/>
          <w:sz w:val="30"/>
          <w:szCs w:val="30"/>
        </w:rPr>
      </w:pPr>
      <w:r>
        <w:rPr>
          <w:rFonts w:hint="eastAsia" w:ascii="方正仿宋_GB2312" w:hAnsi="方正仿宋_GB2312" w:eastAsia="方正仿宋_GB2312" w:cs="方正仿宋_GB2312"/>
          <w:b/>
          <w:bCs/>
          <w:color w:val="000000"/>
          <w:sz w:val="30"/>
          <w:szCs w:val="30"/>
        </w:rPr>
        <w:t>第十条</w:t>
      </w:r>
      <w:r>
        <w:rPr>
          <w:rFonts w:hint="eastAsia" w:ascii="方正仿宋_GB2312" w:hAnsi="方正仿宋_GB2312" w:eastAsia="方正仿宋_GB2312" w:cs="方正仿宋_GB2312"/>
          <w:color w:val="000000"/>
          <w:sz w:val="30"/>
          <w:szCs w:val="30"/>
        </w:rPr>
        <w:t> 录取时以考生普通高中学业水平考试成绩和职业技能考试成绩（技术+综合能力）为主要依据，参考高中学生综合素质评价材料，综合评价、择优录取。考生的语文、数学、外语、物理、化学、生物学、思想政治、历史、地理9个科目的普通高中学业水平考试成绩以绩点方式进行换算（单科成绩按照合格等第计为20分、不合格等第不计分）和职业技能考试成绩（技术+综合能力）一起计入考试总成绩。</w:t>
      </w:r>
    </w:p>
    <w:p>
      <w:pPr>
        <w:pStyle w:val="23"/>
        <w:keepNext w:val="0"/>
        <w:keepLines w:val="0"/>
        <w:pageBreakBefore w:val="0"/>
        <w:widowControl/>
        <w:kinsoku/>
        <w:overflowPunct/>
        <w:topLinePunct w:val="0"/>
        <w:autoSpaceDE/>
        <w:autoSpaceDN/>
        <w:bidi w:val="0"/>
        <w:adjustRightInd/>
        <w:snapToGrid/>
        <w:spacing w:line="360" w:lineRule="auto"/>
        <w:ind w:firstLine="602" w:firstLineChars="200"/>
        <w:jc w:val="left"/>
        <w:textAlignment w:val="auto"/>
        <w:rPr>
          <w:rFonts w:hint="eastAsia" w:ascii="方正仿宋_GB2312" w:hAnsi="方正仿宋_GB2312" w:eastAsia="方正仿宋_GB2312" w:cs="方正仿宋_GB2312"/>
          <w:color w:val="000000"/>
          <w:sz w:val="30"/>
          <w:szCs w:val="30"/>
        </w:rPr>
      </w:pPr>
      <w:r>
        <w:rPr>
          <w:rFonts w:hint="eastAsia" w:ascii="方正仿宋_GB2312" w:hAnsi="方正仿宋_GB2312" w:eastAsia="方正仿宋_GB2312" w:cs="方正仿宋_GB2312"/>
          <w:b/>
          <w:bCs/>
          <w:color w:val="000000"/>
          <w:sz w:val="30"/>
          <w:szCs w:val="30"/>
        </w:rPr>
        <w:t>第十一条</w:t>
      </w:r>
      <w:r>
        <w:rPr>
          <w:rFonts w:hint="eastAsia" w:ascii="方正仿宋_GB2312" w:hAnsi="方正仿宋_GB2312" w:eastAsia="方正仿宋_GB2312" w:cs="方正仿宋_GB2312"/>
          <w:color w:val="000000"/>
          <w:sz w:val="30"/>
          <w:szCs w:val="30"/>
        </w:rPr>
        <w:t xml:space="preserve"> 当若干名考生考试总成绩相同时，将按照技术、综合能力的单科成绩由高到低顺序录取。</w:t>
      </w:r>
    </w:p>
    <w:p>
      <w:pPr>
        <w:pStyle w:val="23"/>
        <w:keepNext w:val="0"/>
        <w:keepLines w:val="0"/>
        <w:pageBreakBefore w:val="0"/>
        <w:widowControl/>
        <w:kinsoku/>
        <w:overflowPunct/>
        <w:topLinePunct w:val="0"/>
        <w:autoSpaceDE/>
        <w:autoSpaceDN/>
        <w:bidi w:val="0"/>
        <w:adjustRightInd/>
        <w:snapToGrid/>
        <w:spacing w:line="360" w:lineRule="auto"/>
        <w:ind w:firstLine="602"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bCs/>
          <w:sz w:val="30"/>
          <w:szCs w:val="30"/>
        </w:rPr>
        <w:t>第十二条</w:t>
      </w:r>
      <w:r>
        <w:rPr>
          <w:rFonts w:hint="eastAsia" w:ascii="方正仿宋_GB2312" w:hAnsi="方正仿宋_GB2312" w:eastAsia="方正仿宋_GB2312" w:cs="方正仿宋_GB2312"/>
          <w:sz w:val="30"/>
          <w:szCs w:val="30"/>
        </w:rPr>
        <w:t xml:space="preserve"> 对享受政策照顾的考生，录取依据《202</w:t>
      </w:r>
      <w:r>
        <w:rPr>
          <w:rFonts w:hint="eastAsia" w:ascii="方正仿宋_GB2312" w:hAnsi="方正仿宋_GB2312" w:eastAsia="方正仿宋_GB2312" w:cs="方正仿宋_GB2312"/>
          <w:sz w:val="30"/>
          <w:szCs w:val="30"/>
          <w:lang w:val="en-US" w:eastAsia="zh-CN"/>
        </w:rPr>
        <w:t>4</w:t>
      </w:r>
      <w:r>
        <w:rPr>
          <w:rFonts w:hint="eastAsia" w:ascii="方正仿宋_GB2312" w:hAnsi="方正仿宋_GB2312" w:eastAsia="方正仿宋_GB2312" w:cs="方正仿宋_GB2312"/>
          <w:sz w:val="30"/>
          <w:szCs w:val="30"/>
        </w:rPr>
        <w:t>年天津市高职院校分类考试招生实施办法》执行。</w:t>
      </w:r>
    </w:p>
    <w:p>
      <w:pPr>
        <w:keepNext w:val="0"/>
        <w:keepLines w:val="0"/>
        <w:pageBreakBefore w:val="0"/>
        <w:widowControl/>
        <w:tabs>
          <w:tab w:val="left" w:pos="0"/>
          <w:tab w:val="left" w:pos="142"/>
          <w:tab w:val="left" w:pos="284"/>
        </w:tabs>
        <w:kinsoku/>
        <w:overflowPunct/>
        <w:topLinePunct w:val="0"/>
        <w:autoSpaceDE/>
        <w:autoSpaceDN/>
        <w:bidi w:val="0"/>
        <w:adjustRightInd/>
        <w:snapToGrid/>
        <w:spacing w:line="360" w:lineRule="auto"/>
        <w:ind w:firstLine="600"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   </w:t>
      </w:r>
      <w:r>
        <w:rPr>
          <w:rFonts w:hint="eastAsia" w:ascii="方正仿宋_GB2312" w:hAnsi="方正仿宋_GB2312" w:eastAsia="方正仿宋_GB2312" w:cs="方正仿宋_GB2312"/>
          <w:b/>
          <w:bCs/>
          <w:sz w:val="30"/>
          <w:szCs w:val="30"/>
        </w:rPr>
        <w:t>第十三条</w:t>
      </w:r>
      <w:r>
        <w:rPr>
          <w:rFonts w:hint="eastAsia" w:ascii="方正仿宋_GB2312" w:hAnsi="方正仿宋_GB2312" w:eastAsia="方正仿宋_GB2312" w:cs="方正仿宋_GB2312"/>
          <w:sz w:val="30"/>
          <w:szCs w:val="30"/>
        </w:rPr>
        <w:t xml:space="preserve"> 完成高中学业的天津籍退役士兵，经有关单位严格按照规定的标准和程序审核后，通过高职分类考试报考我院免文化素质考试，需参加与报考专业相关的职业适性面试或技能测试。（具体实施方案见《202</w:t>
      </w:r>
      <w:r>
        <w:rPr>
          <w:rFonts w:hint="eastAsia" w:ascii="方正仿宋_GB2312" w:hAnsi="方正仿宋_GB2312" w:eastAsia="方正仿宋_GB2312" w:cs="方正仿宋_GB2312"/>
          <w:sz w:val="30"/>
          <w:szCs w:val="30"/>
          <w:lang w:val="en-US" w:eastAsia="zh-CN"/>
        </w:rPr>
        <w:t>4</w:t>
      </w:r>
      <w:r>
        <w:rPr>
          <w:rFonts w:hint="eastAsia" w:ascii="方正仿宋_GB2312" w:hAnsi="方正仿宋_GB2312" w:eastAsia="方正仿宋_GB2312" w:cs="方正仿宋_GB2312"/>
          <w:sz w:val="30"/>
          <w:szCs w:val="30"/>
        </w:rPr>
        <w:t>年天津工业职业学院招收退役士兵实施方案》）</w:t>
      </w:r>
    </w:p>
    <w:p>
      <w:pPr>
        <w:pStyle w:val="23"/>
        <w:keepNext w:val="0"/>
        <w:keepLines w:val="0"/>
        <w:pageBreakBefore w:val="0"/>
        <w:widowControl/>
        <w:kinsoku/>
        <w:overflowPunct/>
        <w:topLinePunct w:val="0"/>
        <w:autoSpaceDE/>
        <w:autoSpaceDN/>
        <w:bidi w:val="0"/>
        <w:adjustRightInd/>
        <w:snapToGrid/>
        <w:spacing w:line="360" w:lineRule="auto"/>
        <w:ind w:firstLine="602"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bCs/>
          <w:color w:val="000000"/>
          <w:sz w:val="30"/>
          <w:szCs w:val="30"/>
        </w:rPr>
        <w:t>第十四条</w:t>
      </w:r>
      <w:r>
        <w:rPr>
          <w:rFonts w:hint="eastAsia" w:ascii="方正仿宋_GB2312" w:hAnsi="方正仿宋_GB2312" w:eastAsia="方正仿宋_GB2312" w:cs="方正仿宋_GB2312"/>
          <w:color w:val="000000"/>
          <w:sz w:val="30"/>
          <w:szCs w:val="30"/>
        </w:rPr>
        <w:t xml:space="preserve"> 依照教育部、卫生部、中国残疾人联合会颁布的《普通高等学校招生体检工作指导意见》，对考生身体健康状况进行审查和复查，对不符合标准的按指导意见的相关规定处理。</w:t>
      </w:r>
    </w:p>
    <w:p>
      <w:pPr>
        <w:pStyle w:val="23"/>
        <w:keepNext w:val="0"/>
        <w:keepLines w:val="0"/>
        <w:pageBreakBefore w:val="0"/>
        <w:widowControl/>
        <w:kinsoku/>
        <w:overflowPunct/>
        <w:topLinePunct w:val="0"/>
        <w:autoSpaceDE/>
        <w:autoSpaceDN/>
        <w:bidi w:val="0"/>
        <w:adjustRightInd/>
        <w:snapToGrid/>
        <w:spacing w:line="360" w:lineRule="auto"/>
        <w:ind w:firstLine="602"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bCs/>
          <w:color w:val="000000"/>
          <w:sz w:val="30"/>
          <w:szCs w:val="30"/>
        </w:rPr>
        <w:t>第十五条</w:t>
      </w:r>
      <w:r>
        <w:rPr>
          <w:rFonts w:hint="eastAsia" w:ascii="方正仿宋_GB2312" w:hAnsi="方正仿宋_GB2312" w:eastAsia="方正仿宋_GB2312" w:cs="方正仿宋_GB2312"/>
          <w:color w:val="000000"/>
          <w:sz w:val="30"/>
          <w:szCs w:val="30"/>
        </w:rPr>
        <w:t xml:space="preserve"> 英语是我院第一外语语种，其他语种考生慎重填报。</w:t>
      </w:r>
    </w:p>
    <w:p>
      <w:pPr>
        <w:pStyle w:val="23"/>
        <w:keepNext w:val="0"/>
        <w:keepLines w:val="0"/>
        <w:pageBreakBefore w:val="0"/>
        <w:widowControl/>
        <w:kinsoku/>
        <w:overflowPunct/>
        <w:topLinePunct w:val="0"/>
        <w:autoSpaceDE/>
        <w:autoSpaceDN/>
        <w:bidi w:val="0"/>
        <w:adjustRightInd/>
        <w:snapToGrid/>
        <w:spacing w:line="360" w:lineRule="auto"/>
        <w:ind w:firstLine="602"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bCs/>
          <w:color w:val="000000"/>
          <w:sz w:val="30"/>
          <w:szCs w:val="30"/>
        </w:rPr>
        <w:t>第十六条</w:t>
      </w:r>
      <w:r>
        <w:rPr>
          <w:rFonts w:hint="eastAsia" w:ascii="方正仿宋_GB2312" w:hAnsi="方正仿宋_GB2312" w:eastAsia="方正仿宋_GB2312" w:cs="方正仿宋_GB2312"/>
          <w:color w:val="000000"/>
          <w:sz w:val="30"/>
          <w:szCs w:val="30"/>
        </w:rPr>
        <w:t xml:space="preserve"> 录取工作结束后，我院将以邮政特快专递的方式寄发录取通知书。同时，考生可通过我院校园网、咨询电话查询录取结果。</w:t>
      </w:r>
    </w:p>
    <w:p>
      <w:pPr>
        <w:pStyle w:val="23"/>
        <w:keepNext w:val="0"/>
        <w:keepLines w:val="0"/>
        <w:pageBreakBefore w:val="0"/>
        <w:widowControl/>
        <w:kinsoku/>
        <w:overflowPunct/>
        <w:topLinePunct w:val="0"/>
        <w:autoSpaceDE/>
        <w:autoSpaceDN/>
        <w:bidi w:val="0"/>
        <w:adjustRightInd/>
        <w:snapToGrid/>
        <w:spacing w:line="360" w:lineRule="auto"/>
        <w:ind w:firstLine="600" w:firstLineChars="200"/>
        <w:jc w:val="center"/>
        <w:textAlignment w:val="auto"/>
        <w:rPr>
          <w:rFonts w:hint="eastAsia" w:ascii="方正公文黑体" w:hAnsi="方正公文黑体" w:eastAsia="方正公文黑体" w:cs="方正公文黑体"/>
          <w:b w:val="0"/>
          <w:bCs w:val="0"/>
          <w:color w:val="000000"/>
          <w:sz w:val="30"/>
          <w:szCs w:val="30"/>
        </w:rPr>
      </w:pPr>
      <w:r>
        <w:rPr>
          <w:rFonts w:hint="eastAsia" w:ascii="方正公文黑体" w:hAnsi="方正公文黑体" w:eastAsia="方正公文黑体" w:cs="方正公文黑体"/>
          <w:b w:val="0"/>
          <w:bCs w:val="0"/>
          <w:color w:val="000000"/>
          <w:sz w:val="30"/>
          <w:szCs w:val="30"/>
        </w:rPr>
        <w:t>第五章 后续管理</w:t>
      </w:r>
    </w:p>
    <w:p>
      <w:pPr>
        <w:pStyle w:val="23"/>
        <w:keepNext w:val="0"/>
        <w:keepLines w:val="0"/>
        <w:pageBreakBefore w:val="0"/>
        <w:widowControl/>
        <w:kinsoku/>
        <w:overflowPunct/>
        <w:topLinePunct w:val="0"/>
        <w:autoSpaceDE/>
        <w:autoSpaceDN/>
        <w:bidi w:val="0"/>
        <w:adjustRightInd/>
        <w:snapToGrid/>
        <w:spacing w:line="360" w:lineRule="auto"/>
        <w:ind w:firstLine="602"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bCs/>
          <w:color w:val="000000"/>
          <w:sz w:val="30"/>
          <w:szCs w:val="30"/>
        </w:rPr>
        <w:t>第十七条</w:t>
      </w:r>
      <w:r>
        <w:rPr>
          <w:rFonts w:hint="eastAsia" w:ascii="方正仿宋_GB2312" w:hAnsi="方正仿宋_GB2312" w:eastAsia="方正仿宋_GB2312" w:cs="方正仿宋_GB2312"/>
          <w:color w:val="000000"/>
          <w:sz w:val="30"/>
          <w:szCs w:val="30"/>
        </w:rPr>
        <w:t xml:space="preserve"> 新生录取后，应按照录取通知书规定报到时间按时报到，如遇特殊情况不能在规定日期报到者，请履行请假手续，否则视为自动放弃入学资格。</w:t>
      </w:r>
    </w:p>
    <w:p>
      <w:pPr>
        <w:pStyle w:val="23"/>
        <w:keepNext w:val="0"/>
        <w:keepLines w:val="0"/>
        <w:pageBreakBefore w:val="0"/>
        <w:widowControl/>
        <w:kinsoku/>
        <w:overflowPunct/>
        <w:topLinePunct w:val="0"/>
        <w:autoSpaceDE/>
        <w:autoSpaceDN/>
        <w:bidi w:val="0"/>
        <w:adjustRightInd/>
        <w:snapToGrid/>
        <w:spacing w:line="360" w:lineRule="auto"/>
        <w:ind w:firstLine="602"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bCs/>
          <w:color w:val="000000"/>
          <w:sz w:val="30"/>
          <w:szCs w:val="30"/>
        </w:rPr>
        <w:t>第十八条</w:t>
      </w:r>
      <w:r>
        <w:rPr>
          <w:rFonts w:hint="eastAsia" w:ascii="方正仿宋_GB2312" w:hAnsi="方正仿宋_GB2312" w:eastAsia="方正仿宋_GB2312" w:cs="方正仿宋_GB2312"/>
          <w:color w:val="000000"/>
          <w:sz w:val="30"/>
          <w:szCs w:val="30"/>
        </w:rPr>
        <w:t xml:space="preserve"> 新生入学后，学院按照有关规定对新生进行复查，凡身体等方面不符合条件或有舞弊行为的，取消其入学资格。对于徇私舞弊以及违反法纪的考生，学院及时报告有关部门，并视情节轻重追究相关人员的责任。</w:t>
      </w:r>
    </w:p>
    <w:p>
      <w:pPr>
        <w:pStyle w:val="23"/>
        <w:keepNext w:val="0"/>
        <w:keepLines w:val="0"/>
        <w:pageBreakBefore w:val="0"/>
        <w:widowControl/>
        <w:kinsoku/>
        <w:overflowPunct/>
        <w:topLinePunct w:val="0"/>
        <w:autoSpaceDE/>
        <w:autoSpaceDN/>
        <w:bidi w:val="0"/>
        <w:adjustRightInd/>
        <w:snapToGrid/>
        <w:spacing w:line="360" w:lineRule="auto"/>
        <w:ind w:firstLine="602"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bCs/>
          <w:color w:val="000000"/>
          <w:sz w:val="30"/>
          <w:szCs w:val="30"/>
        </w:rPr>
        <w:t>第十九条</w:t>
      </w:r>
      <w:r>
        <w:rPr>
          <w:rFonts w:hint="eastAsia" w:ascii="方正仿宋_GB2312" w:hAnsi="方正仿宋_GB2312" w:eastAsia="方正仿宋_GB2312" w:cs="方正仿宋_GB2312"/>
          <w:color w:val="000000"/>
          <w:sz w:val="30"/>
          <w:szCs w:val="30"/>
        </w:rPr>
        <w:t xml:space="preserve"> 新生入学注册后，学院依据《天津工业职业学院学生管理细则》、《天津工业职业学院学籍管理规定》等规章制度进行管理，按专业人才培养方案对学生进行培养。</w:t>
      </w:r>
    </w:p>
    <w:p>
      <w:pPr>
        <w:pStyle w:val="23"/>
        <w:keepNext w:val="0"/>
        <w:keepLines w:val="0"/>
        <w:pageBreakBefore w:val="0"/>
        <w:widowControl/>
        <w:kinsoku/>
        <w:overflowPunct/>
        <w:topLinePunct w:val="0"/>
        <w:autoSpaceDE/>
        <w:autoSpaceDN/>
        <w:bidi w:val="0"/>
        <w:adjustRightInd/>
        <w:snapToGrid/>
        <w:spacing w:line="360" w:lineRule="auto"/>
        <w:ind w:firstLine="602"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bCs/>
          <w:color w:val="000000"/>
          <w:sz w:val="30"/>
          <w:szCs w:val="30"/>
        </w:rPr>
        <w:t>第二十条</w:t>
      </w:r>
      <w:r>
        <w:rPr>
          <w:rFonts w:hint="eastAsia" w:ascii="方正仿宋_GB2312" w:hAnsi="方正仿宋_GB2312" w:eastAsia="方正仿宋_GB2312" w:cs="方正仿宋_GB2312"/>
          <w:color w:val="000000"/>
          <w:sz w:val="30"/>
          <w:szCs w:val="30"/>
        </w:rPr>
        <w:t xml:space="preserve"> 学院设有国家奖学金、国家励志奖学金、政府奖学金、国家助学金等，奖励德、智、体全面发展的优秀在校生。学院为贫困生开通国家助学贷款，提供勤工俭学岗位。</w:t>
      </w:r>
    </w:p>
    <w:p>
      <w:pPr>
        <w:pStyle w:val="23"/>
        <w:keepNext w:val="0"/>
        <w:keepLines w:val="0"/>
        <w:pageBreakBefore w:val="0"/>
        <w:widowControl/>
        <w:kinsoku/>
        <w:overflowPunct/>
        <w:topLinePunct w:val="0"/>
        <w:autoSpaceDE/>
        <w:autoSpaceDN/>
        <w:bidi w:val="0"/>
        <w:adjustRightInd/>
        <w:snapToGrid/>
        <w:spacing w:line="360" w:lineRule="auto"/>
        <w:ind w:firstLine="602"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bCs/>
          <w:color w:val="000000"/>
          <w:sz w:val="30"/>
          <w:szCs w:val="30"/>
        </w:rPr>
        <w:t>第二十一条</w:t>
      </w:r>
      <w:r>
        <w:rPr>
          <w:rFonts w:hint="eastAsia" w:ascii="方正仿宋_GB2312" w:hAnsi="方正仿宋_GB2312" w:eastAsia="方正仿宋_GB2312" w:cs="方正仿宋_GB2312"/>
          <w:color w:val="000000"/>
          <w:sz w:val="30"/>
          <w:szCs w:val="30"/>
        </w:rPr>
        <w:t xml:space="preserve"> 学生修完人才培养方案规定的全部课程，成绩合格，准予毕业，颁发天津工业职业学院全日制普通高等学校专科毕业证书。</w:t>
      </w:r>
    </w:p>
    <w:p>
      <w:pPr>
        <w:pStyle w:val="23"/>
        <w:keepNext w:val="0"/>
        <w:keepLines w:val="0"/>
        <w:pageBreakBefore w:val="0"/>
        <w:widowControl/>
        <w:kinsoku/>
        <w:overflowPunct/>
        <w:topLinePunct w:val="0"/>
        <w:autoSpaceDE/>
        <w:autoSpaceDN/>
        <w:bidi w:val="0"/>
        <w:adjustRightInd/>
        <w:snapToGrid/>
        <w:spacing w:line="360" w:lineRule="auto"/>
        <w:ind w:firstLine="600" w:firstLineChars="200"/>
        <w:jc w:val="center"/>
        <w:textAlignment w:val="auto"/>
        <w:rPr>
          <w:rFonts w:hint="eastAsia" w:ascii="方正公文黑体" w:hAnsi="方正公文黑体" w:eastAsia="方正公文黑体" w:cs="方正公文黑体"/>
          <w:b w:val="0"/>
          <w:bCs w:val="0"/>
          <w:color w:val="000000"/>
          <w:sz w:val="30"/>
          <w:szCs w:val="30"/>
        </w:rPr>
      </w:pPr>
      <w:r>
        <w:rPr>
          <w:rFonts w:hint="eastAsia" w:ascii="方正公文黑体" w:hAnsi="方正公文黑体" w:eastAsia="方正公文黑体" w:cs="方正公文黑体"/>
          <w:b w:val="0"/>
          <w:bCs w:val="0"/>
          <w:color w:val="000000"/>
          <w:sz w:val="30"/>
          <w:szCs w:val="30"/>
        </w:rPr>
        <w:t>第六章 附则</w:t>
      </w:r>
    </w:p>
    <w:p>
      <w:pPr>
        <w:pStyle w:val="23"/>
        <w:keepNext w:val="0"/>
        <w:keepLines w:val="0"/>
        <w:pageBreakBefore w:val="0"/>
        <w:widowControl/>
        <w:kinsoku/>
        <w:overflowPunct/>
        <w:topLinePunct w:val="0"/>
        <w:autoSpaceDE/>
        <w:autoSpaceDN/>
        <w:bidi w:val="0"/>
        <w:adjustRightInd/>
        <w:snapToGrid/>
        <w:spacing w:line="360" w:lineRule="auto"/>
        <w:ind w:firstLine="602"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bCs/>
          <w:color w:val="000000"/>
          <w:sz w:val="30"/>
          <w:szCs w:val="30"/>
        </w:rPr>
        <w:t>第二十二条</w:t>
      </w:r>
      <w:r>
        <w:rPr>
          <w:rFonts w:hint="eastAsia" w:ascii="方正仿宋_GB2312" w:hAnsi="方正仿宋_GB2312" w:eastAsia="方正仿宋_GB2312" w:cs="方正仿宋_GB2312"/>
          <w:color w:val="000000"/>
          <w:sz w:val="30"/>
          <w:szCs w:val="30"/>
        </w:rPr>
        <w:t xml:space="preserve"> 本章程仅适用于202</w:t>
      </w:r>
      <w:r>
        <w:rPr>
          <w:rFonts w:hint="eastAsia" w:ascii="方正仿宋_GB2312" w:hAnsi="方正仿宋_GB2312" w:eastAsia="方正仿宋_GB2312" w:cs="方正仿宋_GB2312"/>
          <w:color w:val="000000"/>
          <w:sz w:val="30"/>
          <w:szCs w:val="30"/>
          <w:lang w:val="en-US" w:eastAsia="zh-CN"/>
        </w:rPr>
        <w:t>4</w:t>
      </w:r>
      <w:r>
        <w:rPr>
          <w:rFonts w:hint="eastAsia" w:ascii="方正仿宋_GB2312" w:hAnsi="方正仿宋_GB2312" w:eastAsia="方正仿宋_GB2312" w:cs="方正仿宋_GB2312"/>
          <w:color w:val="000000"/>
          <w:sz w:val="30"/>
          <w:szCs w:val="30"/>
        </w:rPr>
        <w:t>年天津工业职业学院高职分类考试招收普通高中毕业生招生工作。</w:t>
      </w:r>
    </w:p>
    <w:p>
      <w:pPr>
        <w:pStyle w:val="23"/>
        <w:keepNext w:val="0"/>
        <w:keepLines w:val="0"/>
        <w:pageBreakBefore w:val="0"/>
        <w:widowControl/>
        <w:kinsoku/>
        <w:overflowPunct/>
        <w:topLinePunct w:val="0"/>
        <w:autoSpaceDE/>
        <w:autoSpaceDN/>
        <w:bidi w:val="0"/>
        <w:adjustRightInd/>
        <w:snapToGrid/>
        <w:spacing w:line="360" w:lineRule="auto"/>
        <w:ind w:firstLine="602"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bCs/>
          <w:color w:val="000000"/>
          <w:sz w:val="30"/>
          <w:szCs w:val="30"/>
        </w:rPr>
        <w:t>第二十三条</w:t>
      </w:r>
      <w:r>
        <w:rPr>
          <w:rFonts w:hint="eastAsia" w:ascii="方正仿宋_GB2312" w:hAnsi="方正仿宋_GB2312" w:eastAsia="方正仿宋_GB2312" w:cs="方正仿宋_GB2312"/>
          <w:color w:val="000000"/>
          <w:sz w:val="30"/>
          <w:szCs w:val="30"/>
        </w:rPr>
        <w:t xml:space="preserve"> 本章程经天津工业职业学院招生领导小组审查通过，报上级主管部门审核。</w:t>
      </w:r>
    </w:p>
    <w:p>
      <w:pPr>
        <w:pStyle w:val="23"/>
        <w:keepNext w:val="0"/>
        <w:keepLines w:val="0"/>
        <w:pageBreakBefore w:val="0"/>
        <w:widowControl/>
        <w:kinsoku/>
        <w:overflowPunct/>
        <w:topLinePunct w:val="0"/>
        <w:autoSpaceDE/>
        <w:autoSpaceDN/>
        <w:bidi w:val="0"/>
        <w:adjustRightInd/>
        <w:snapToGrid/>
        <w:spacing w:line="360" w:lineRule="auto"/>
        <w:ind w:firstLine="602"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bCs/>
          <w:color w:val="000000"/>
          <w:sz w:val="30"/>
          <w:szCs w:val="30"/>
        </w:rPr>
        <w:t>第二十四条</w:t>
      </w:r>
      <w:r>
        <w:rPr>
          <w:rFonts w:hint="eastAsia" w:ascii="方正仿宋_GB2312" w:hAnsi="方正仿宋_GB2312" w:eastAsia="方正仿宋_GB2312" w:cs="方正仿宋_GB2312"/>
          <w:color w:val="000000"/>
          <w:sz w:val="30"/>
          <w:szCs w:val="30"/>
        </w:rPr>
        <w:t xml:space="preserve"> 本章程自公布之日起开始执行，此前章程一律废止。</w:t>
      </w:r>
    </w:p>
    <w:p>
      <w:pPr>
        <w:pStyle w:val="23"/>
        <w:keepNext w:val="0"/>
        <w:keepLines w:val="0"/>
        <w:pageBreakBefore w:val="0"/>
        <w:widowControl/>
        <w:kinsoku/>
        <w:overflowPunct/>
        <w:topLinePunct w:val="0"/>
        <w:autoSpaceDE/>
        <w:autoSpaceDN/>
        <w:bidi w:val="0"/>
        <w:adjustRightInd/>
        <w:snapToGrid/>
        <w:spacing w:line="360" w:lineRule="auto"/>
        <w:ind w:firstLine="602"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bCs/>
          <w:color w:val="000000"/>
          <w:sz w:val="30"/>
          <w:szCs w:val="30"/>
        </w:rPr>
        <w:t>第二十五条</w:t>
      </w:r>
      <w:r>
        <w:rPr>
          <w:rFonts w:hint="eastAsia" w:ascii="方正仿宋_GB2312" w:hAnsi="方正仿宋_GB2312" w:eastAsia="方正仿宋_GB2312" w:cs="方正仿宋_GB2312"/>
          <w:color w:val="000000"/>
          <w:sz w:val="30"/>
          <w:szCs w:val="30"/>
        </w:rPr>
        <w:t xml:space="preserve"> 在招生咨询过程中天津工业职业学院咨询人员的意见、建议仅作为考生填报志愿的参考，不属学院录取承诺。</w:t>
      </w:r>
    </w:p>
    <w:p>
      <w:pPr>
        <w:pStyle w:val="23"/>
        <w:keepNext w:val="0"/>
        <w:keepLines w:val="0"/>
        <w:pageBreakBefore w:val="0"/>
        <w:widowControl/>
        <w:kinsoku/>
        <w:overflowPunct/>
        <w:topLinePunct w:val="0"/>
        <w:autoSpaceDE/>
        <w:autoSpaceDN/>
        <w:bidi w:val="0"/>
        <w:adjustRightInd/>
        <w:snapToGrid/>
        <w:spacing w:line="360" w:lineRule="auto"/>
        <w:ind w:firstLine="602" w:firstLineChars="200"/>
        <w:jc w:val="left"/>
        <w:textAlignment w:val="auto"/>
        <w:rPr>
          <w:rFonts w:hint="eastAsia" w:ascii="方正仿宋_GB2312" w:hAnsi="方正仿宋_GB2312" w:eastAsia="方正仿宋_GB2312" w:cs="方正仿宋_GB2312"/>
          <w:color w:val="000000"/>
          <w:sz w:val="30"/>
          <w:szCs w:val="30"/>
        </w:rPr>
      </w:pPr>
      <w:r>
        <w:rPr>
          <w:rFonts w:hint="eastAsia" w:ascii="方正仿宋_GB2312" w:hAnsi="方正仿宋_GB2312" w:eastAsia="方正仿宋_GB2312" w:cs="方正仿宋_GB2312"/>
          <w:b/>
          <w:bCs/>
          <w:color w:val="000000"/>
          <w:sz w:val="30"/>
          <w:szCs w:val="30"/>
        </w:rPr>
        <w:t>第二十六条</w:t>
      </w:r>
      <w:r>
        <w:rPr>
          <w:rFonts w:hint="eastAsia" w:ascii="方正仿宋_GB2312" w:hAnsi="方正仿宋_GB2312" w:eastAsia="方正仿宋_GB2312" w:cs="方正仿宋_GB2312"/>
          <w:color w:val="000000"/>
          <w:sz w:val="30"/>
          <w:szCs w:val="30"/>
        </w:rPr>
        <w:t xml:space="preserve"> 本章程由天津工业职业学院</w:t>
      </w:r>
      <w:r>
        <w:rPr>
          <w:rFonts w:hint="eastAsia" w:ascii="方正仿宋_GB2312" w:hAnsi="方正仿宋_GB2312" w:eastAsia="方正仿宋_GB2312" w:cs="方正仿宋_GB2312"/>
          <w:color w:val="000000"/>
          <w:sz w:val="30"/>
          <w:szCs w:val="30"/>
          <w:lang w:val="en-US" w:eastAsia="zh-CN"/>
        </w:rPr>
        <w:t>招生就业指导办公室</w:t>
      </w:r>
      <w:r>
        <w:rPr>
          <w:rFonts w:hint="eastAsia" w:ascii="方正仿宋_GB2312" w:hAnsi="方正仿宋_GB2312" w:eastAsia="方正仿宋_GB2312" w:cs="方正仿宋_GB2312"/>
          <w:color w:val="000000"/>
          <w:sz w:val="30"/>
          <w:szCs w:val="30"/>
        </w:rPr>
        <w:t>负责解释。</w:t>
      </w:r>
    </w:p>
    <w:p>
      <w:pPr>
        <w:pStyle w:val="23"/>
        <w:keepNext w:val="0"/>
        <w:keepLines w:val="0"/>
        <w:pageBreakBefore w:val="0"/>
        <w:widowControl/>
        <w:kinsoku/>
        <w:overflowPunct/>
        <w:topLinePunct w:val="0"/>
        <w:autoSpaceDE/>
        <w:autoSpaceDN/>
        <w:bidi w:val="0"/>
        <w:adjustRightInd/>
        <w:snapToGrid/>
        <w:spacing w:line="360" w:lineRule="auto"/>
        <w:ind w:firstLine="602"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bCs/>
          <w:color w:val="000000"/>
          <w:sz w:val="30"/>
          <w:szCs w:val="30"/>
        </w:rPr>
        <w:t>第二十</w:t>
      </w:r>
      <w:r>
        <w:rPr>
          <w:rFonts w:hint="eastAsia" w:ascii="方正仿宋_GB2312" w:hAnsi="方正仿宋_GB2312" w:eastAsia="方正仿宋_GB2312" w:cs="方正仿宋_GB2312"/>
          <w:b/>
          <w:bCs/>
          <w:color w:val="000000"/>
          <w:sz w:val="30"/>
          <w:szCs w:val="30"/>
          <w:lang w:val="en-US" w:eastAsia="zh-CN"/>
        </w:rPr>
        <w:t>七</w:t>
      </w:r>
      <w:r>
        <w:rPr>
          <w:rFonts w:hint="eastAsia" w:ascii="方正仿宋_GB2312" w:hAnsi="方正仿宋_GB2312" w:eastAsia="方正仿宋_GB2312" w:cs="方正仿宋_GB2312"/>
          <w:b/>
          <w:bCs/>
          <w:color w:val="000000"/>
          <w:sz w:val="30"/>
          <w:szCs w:val="30"/>
        </w:rPr>
        <w:t>条</w:t>
      </w:r>
      <w:r>
        <w:rPr>
          <w:rFonts w:hint="eastAsia" w:ascii="方正仿宋_GB2312" w:hAnsi="方正仿宋_GB2312" w:eastAsia="方正仿宋_GB2312" w:cs="方正仿宋_GB2312"/>
          <w:color w:val="000000"/>
          <w:sz w:val="30"/>
          <w:szCs w:val="30"/>
        </w:rPr>
        <w:t xml:space="preserve"> 咨询及录取结果查询方式</w:t>
      </w:r>
    </w:p>
    <w:p>
      <w:pPr>
        <w:pStyle w:val="23"/>
        <w:keepNext w:val="0"/>
        <w:keepLines w:val="0"/>
        <w:pageBreakBefore w:val="0"/>
        <w:widowControl/>
        <w:kinsoku/>
        <w:overflowPunct/>
        <w:topLinePunct w:val="0"/>
        <w:autoSpaceDE/>
        <w:autoSpaceDN/>
        <w:bidi w:val="0"/>
        <w:adjustRightInd/>
        <w:snapToGrid/>
        <w:spacing w:line="360" w:lineRule="auto"/>
        <w:ind w:firstLine="600"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color w:val="000000"/>
          <w:sz w:val="30"/>
          <w:szCs w:val="30"/>
        </w:rPr>
        <w:t>学院网址：http:// www.pctj.edu.cn</w:t>
      </w:r>
    </w:p>
    <w:p>
      <w:pPr>
        <w:pStyle w:val="23"/>
        <w:keepNext w:val="0"/>
        <w:keepLines w:val="0"/>
        <w:pageBreakBefore w:val="0"/>
        <w:widowControl/>
        <w:kinsoku/>
        <w:overflowPunct/>
        <w:topLinePunct w:val="0"/>
        <w:autoSpaceDE/>
        <w:autoSpaceDN/>
        <w:bidi w:val="0"/>
        <w:adjustRightInd/>
        <w:snapToGrid/>
        <w:spacing w:line="360" w:lineRule="auto"/>
        <w:ind w:firstLine="600"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color w:val="000000"/>
          <w:sz w:val="30"/>
          <w:szCs w:val="30"/>
        </w:rPr>
        <w:t>咨询电话：022-26983723、26983773</w:t>
      </w:r>
    </w:p>
    <w:p>
      <w:pPr>
        <w:pStyle w:val="23"/>
        <w:keepNext w:val="0"/>
        <w:keepLines w:val="0"/>
        <w:pageBreakBefore w:val="0"/>
        <w:widowControl/>
        <w:kinsoku/>
        <w:overflowPunct/>
        <w:topLinePunct w:val="0"/>
        <w:autoSpaceDE/>
        <w:autoSpaceDN/>
        <w:bidi w:val="0"/>
        <w:adjustRightInd/>
        <w:snapToGrid/>
        <w:spacing w:line="360" w:lineRule="auto"/>
        <w:ind w:firstLine="600"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color w:val="000000"/>
          <w:sz w:val="30"/>
          <w:szCs w:val="30"/>
        </w:rPr>
        <w:t>学院地址：天津市北辰区学海道38号</w:t>
      </w:r>
    </w:p>
    <w:p>
      <w:pPr>
        <w:pStyle w:val="23"/>
        <w:keepNext w:val="0"/>
        <w:keepLines w:val="0"/>
        <w:pageBreakBefore w:val="0"/>
        <w:widowControl/>
        <w:kinsoku/>
        <w:overflowPunct/>
        <w:topLinePunct w:val="0"/>
        <w:autoSpaceDE/>
        <w:autoSpaceDN/>
        <w:bidi w:val="0"/>
        <w:adjustRightInd/>
        <w:snapToGrid/>
        <w:spacing w:line="360" w:lineRule="auto"/>
        <w:ind w:firstLine="600" w:firstLineChars="200"/>
        <w:jc w:val="left"/>
        <w:textAlignment w:val="auto"/>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color w:val="000000"/>
          <w:sz w:val="30"/>
          <w:szCs w:val="30"/>
        </w:rPr>
        <w:t>邮编：300400</w:t>
      </w:r>
    </w:p>
    <w:p>
      <w:pPr>
        <w:pStyle w:val="23"/>
        <w:keepNext w:val="0"/>
        <w:keepLines w:val="0"/>
        <w:pageBreakBefore w:val="0"/>
        <w:widowControl/>
        <w:kinsoku/>
        <w:wordWrap w:val="0"/>
        <w:overflowPunct/>
        <w:topLinePunct w:val="0"/>
        <w:autoSpaceDE/>
        <w:autoSpaceDN/>
        <w:bidi w:val="0"/>
        <w:adjustRightInd/>
        <w:snapToGrid/>
        <w:spacing w:line="360" w:lineRule="auto"/>
        <w:ind w:firstLine="600" w:firstLineChars="200"/>
        <w:jc w:val="left"/>
        <w:textAlignment w:val="auto"/>
        <w:rPr>
          <w:rFonts w:hint="eastAsia" w:ascii="方正仿宋_GB2312" w:hAnsi="方正仿宋_GB2312" w:eastAsia="方正仿宋_GB2312" w:cs="方正仿宋_GB2312"/>
          <w:sz w:val="30"/>
          <w:szCs w:val="30"/>
        </w:rPr>
      </w:pPr>
    </w:p>
    <w:p>
      <w:pPr>
        <w:pStyle w:val="23"/>
        <w:keepNext w:val="0"/>
        <w:keepLines w:val="0"/>
        <w:pageBreakBefore w:val="0"/>
        <w:widowControl/>
        <w:kinsoku/>
        <w:overflowPunct/>
        <w:topLinePunct w:val="0"/>
        <w:autoSpaceDE/>
        <w:autoSpaceDN/>
        <w:bidi w:val="0"/>
        <w:adjustRightInd/>
        <w:snapToGrid/>
        <w:spacing w:line="360" w:lineRule="auto"/>
        <w:ind w:firstLine="600" w:firstLineChars="200"/>
        <w:jc w:val="left"/>
        <w:textAlignment w:val="auto"/>
        <w:rPr>
          <w:rFonts w:hint="eastAsia" w:ascii="方正仿宋_GB2312" w:hAnsi="方正仿宋_GB2312" w:eastAsia="方正仿宋_GB2312" w:cs="方正仿宋_GB2312"/>
          <w:color w:val="000000"/>
          <w:sz w:val="30"/>
          <w:szCs w:val="30"/>
          <w:lang w:val="en-US" w:eastAsia="zh-CN"/>
        </w:rPr>
      </w:pPr>
    </w:p>
    <w:p>
      <w:pPr>
        <w:pStyle w:val="23"/>
        <w:keepNext w:val="0"/>
        <w:keepLines w:val="0"/>
        <w:pageBreakBefore w:val="0"/>
        <w:widowControl/>
        <w:kinsoku/>
        <w:overflowPunct/>
        <w:topLinePunct w:val="0"/>
        <w:autoSpaceDE/>
        <w:autoSpaceDN/>
        <w:bidi w:val="0"/>
        <w:adjustRightInd/>
        <w:snapToGrid/>
        <w:spacing w:line="360" w:lineRule="auto"/>
        <w:ind w:firstLine="600" w:firstLineChars="200"/>
        <w:jc w:val="left"/>
        <w:textAlignment w:val="auto"/>
        <w:rPr>
          <w:rFonts w:hint="eastAsia" w:ascii="方正仿宋_GB2312" w:hAnsi="方正仿宋_GB2312" w:eastAsia="方正仿宋_GB2312" w:cs="方正仿宋_GB2312"/>
          <w:color w:val="000000"/>
          <w:sz w:val="30"/>
          <w:szCs w:val="30"/>
          <w:lang w:val="en-US" w:eastAsia="zh-CN"/>
        </w:rPr>
      </w:pPr>
    </w:p>
    <w:p>
      <w:pPr>
        <w:pStyle w:val="23"/>
        <w:keepNext w:val="0"/>
        <w:keepLines w:val="0"/>
        <w:pageBreakBefore w:val="0"/>
        <w:widowControl/>
        <w:kinsoku/>
        <w:overflowPunct/>
        <w:topLinePunct w:val="0"/>
        <w:autoSpaceDE/>
        <w:autoSpaceDN/>
        <w:bidi w:val="0"/>
        <w:adjustRightInd/>
        <w:snapToGrid/>
        <w:spacing w:line="360" w:lineRule="auto"/>
        <w:ind w:firstLine="600" w:firstLineChars="200"/>
        <w:jc w:val="left"/>
        <w:textAlignment w:val="auto"/>
        <w:rPr>
          <w:rFonts w:hint="eastAsia" w:ascii="方正仿宋_GB2312" w:hAnsi="方正仿宋_GB2312" w:eastAsia="方正仿宋_GB2312" w:cs="方正仿宋_GB2312"/>
          <w:color w:val="000000"/>
          <w:sz w:val="30"/>
          <w:szCs w:val="30"/>
          <w:lang w:val="en-US" w:eastAsia="zh-CN"/>
        </w:rPr>
      </w:pPr>
    </w:p>
    <w:p>
      <w:pPr>
        <w:pStyle w:val="23"/>
        <w:keepNext w:val="0"/>
        <w:keepLines w:val="0"/>
        <w:pageBreakBefore w:val="0"/>
        <w:widowControl/>
        <w:kinsoku/>
        <w:overflowPunct/>
        <w:topLinePunct w:val="0"/>
        <w:autoSpaceDE/>
        <w:autoSpaceDN/>
        <w:bidi w:val="0"/>
        <w:adjustRightInd/>
        <w:snapToGrid/>
        <w:spacing w:line="360" w:lineRule="auto"/>
        <w:ind w:firstLine="600" w:firstLineChars="200"/>
        <w:jc w:val="left"/>
        <w:textAlignment w:val="auto"/>
        <w:rPr>
          <w:rFonts w:hint="eastAsia" w:ascii="方正仿宋_GB2312" w:hAnsi="方正仿宋_GB2312" w:eastAsia="方正仿宋_GB2312" w:cs="方正仿宋_GB2312"/>
          <w:color w:val="000000"/>
          <w:sz w:val="30"/>
          <w:szCs w:val="30"/>
          <w:lang w:val="en-US" w:eastAsia="zh-CN"/>
        </w:rPr>
      </w:pPr>
    </w:p>
    <w:p>
      <w:pPr>
        <w:pStyle w:val="23"/>
        <w:keepNext w:val="0"/>
        <w:keepLines w:val="0"/>
        <w:pageBreakBefore w:val="0"/>
        <w:widowControl/>
        <w:kinsoku/>
        <w:overflowPunct/>
        <w:topLinePunct w:val="0"/>
        <w:autoSpaceDE/>
        <w:autoSpaceDN/>
        <w:bidi w:val="0"/>
        <w:adjustRightInd/>
        <w:snapToGrid/>
        <w:spacing w:line="360" w:lineRule="auto"/>
        <w:ind w:firstLine="600" w:firstLineChars="200"/>
        <w:jc w:val="left"/>
        <w:textAlignment w:val="auto"/>
        <w:rPr>
          <w:rFonts w:hint="eastAsia" w:ascii="方正仿宋_GB2312" w:hAnsi="方正仿宋_GB2312" w:eastAsia="方正仿宋_GB2312" w:cs="方正仿宋_GB2312"/>
          <w:color w:val="000000"/>
          <w:sz w:val="30"/>
          <w:szCs w:val="30"/>
          <w:lang w:val="en-US" w:eastAsia="zh-CN"/>
        </w:rPr>
      </w:pPr>
    </w:p>
    <w:p>
      <w:pPr>
        <w:pStyle w:val="23"/>
        <w:keepNext w:val="0"/>
        <w:keepLines w:val="0"/>
        <w:pageBreakBefore w:val="0"/>
        <w:widowControl/>
        <w:kinsoku/>
        <w:overflowPunct/>
        <w:topLinePunct w:val="0"/>
        <w:autoSpaceDE/>
        <w:autoSpaceDN/>
        <w:bidi w:val="0"/>
        <w:adjustRightInd/>
        <w:snapToGrid/>
        <w:spacing w:line="360" w:lineRule="auto"/>
        <w:ind w:firstLine="600" w:firstLineChars="200"/>
        <w:jc w:val="left"/>
        <w:textAlignment w:val="auto"/>
        <w:rPr>
          <w:rFonts w:hint="eastAsia" w:ascii="方正仿宋_GB2312" w:hAnsi="方正仿宋_GB2312" w:eastAsia="方正仿宋_GB2312" w:cs="方正仿宋_GB2312"/>
          <w:color w:val="000000"/>
          <w:sz w:val="30"/>
          <w:szCs w:val="30"/>
          <w:lang w:val="en-US" w:eastAsia="zh-CN"/>
        </w:rPr>
      </w:pPr>
    </w:p>
    <w:p>
      <w:pPr>
        <w:pStyle w:val="23"/>
        <w:keepNext w:val="0"/>
        <w:keepLines w:val="0"/>
        <w:pageBreakBefore w:val="0"/>
        <w:widowControl/>
        <w:kinsoku/>
        <w:overflowPunct/>
        <w:topLinePunct w:val="0"/>
        <w:autoSpaceDE/>
        <w:autoSpaceDN/>
        <w:bidi w:val="0"/>
        <w:adjustRightInd/>
        <w:snapToGrid/>
        <w:spacing w:line="360" w:lineRule="auto"/>
        <w:ind w:firstLine="600" w:firstLineChars="200"/>
        <w:jc w:val="left"/>
        <w:textAlignment w:val="auto"/>
        <w:rPr>
          <w:rFonts w:hint="eastAsia" w:ascii="方正仿宋_GB2312" w:hAnsi="方正仿宋_GB2312" w:eastAsia="方正仿宋_GB2312" w:cs="方正仿宋_GB2312"/>
          <w:color w:val="000000"/>
          <w:sz w:val="30"/>
          <w:szCs w:val="30"/>
          <w:lang w:val="en-US" w:eastAsia="zh-CN"/>
        </w:rPr>
      </w:pPr>
    </w:p>
    <w:p>
      <w:pPr>
        <w:pStyle w:val="23"/>
        <w:keepNext w:val="0"/>
        <w:keepLines w:val="0"/>
        <w:pageBreakBefore w:val="0"/>
        <w:widowControl/>
        <w:kinsoku/>
        <w:overflowPunct/>
        <w:topLinePunct w:val="0"/>
        <w:autoSpaceDE/>
        <w:autoSpaceDN/>
        <w:bidi w:val="0"/>
        <w:adjustRightInd/>
        <w:snapToGrid/>
        <w:spacing w:line="360" w:lineRule="auto"/>
        <w:ind w:firstLine="600" w:firstLineChars="200"/>
        <w:jc w:val="left"/>
        <w:textAlignment w:val="auto"/>
        <w:rPr>
          <w:rFonts w:hint="eastAsia" w:ascii="方正仿宋_GB2312" w:hAnsi="方正仿宋_GB2312" w:eastAsia="方正仿宋_GB2312" w:cs="方正仿宋_GB2312"/>
          <w:color w:val="000000"/>
          <w:sz w:val="30"/>
          <w:szCs w:val="30"/>
          <w:lang w:val="en-US" w:eastAsia="zh-CN"/>
        </w:rPr>
      </w:pPr>
    </w:p>
    <w:p>
      <w:pPr>
        <w:pStyle w:val="23"/>
        <w:keepNext w:val="0"/>
        <w:keepLines w:val="0"/>
        <w:pageBreakBefore w:val="0"/>
        <w:widowControl/>
        <w:kinsoku/>
        <w:overflowPunct/>
        <w:topLinePunct w:val="0"/>
        <w:autoSpaceDE/>
        <w:autoSpaceDN/>
        <w:bidi w:val="0"/>
        <w:adjustRightInd/>
        <w:snapToGrid/>
        <w:spacing w:line="360" w:lineRule="auto"/>
        <w:ind w:firstLine="600" w:firstLineChars="200"/>
        <w:jc w:val="left"/>
        <w:textAlignment w:val="auto"/>
        <w:rPr>
          <w:rFonts w:hint="eastAsia" w:ascii="方正仿宋_GB2312" w:hAnsi="方正仿宋_GB2312" w:eastAsia="方正仿宋_GB2312" w:cs="方正仿宋_GB2312"/>
          <w:color w:val="000000"/>
          <w:sz w:val="30"/>
          <w:szCs w:val="30"/>
          <w:lang w:val="en-US" w:eastAsia="zh-CN"/>
        </w:rPr>
      </w:pPr>
    </w:p>
    <w:p>
      <w:pPr>
        <w:keepNext w:val="0"/>
        <w:keepLines w:val="0"/>
        <w:pageBreakBefore w:val="0"/>
        <w:widowControl/>
        <w:kinsoku/>
        <w:overflowPunct/>
        <w:topLinePunct w:val="0"/>
        <w:autoSpaceDE/>
        <w:autoSpaceDN/>
        <w:bidi w:val="0"/>
        <w:adjustRightInd/>
        <w:snapToGrid/>
        <w:textAlignment w:val="auto"/>
        <w:rPr>
          <w:rFonts w:hint="eastAsia" w:ascii="华文仿宋" w:hAnsi="华文仿宋" w:eastAsia="华文仿宋" w:cs="华文仿宋"/>
          <w:sz w:val="30"/>
          <w:szCs w:val="30"/>
          <w:lang w:val="en-US" w:eastAsia="zh-CN"/>
        </w:rPr>
      </w:pPr>
    </w:p>
    <w:p>
      <w:pPr>
        <w:keepNext w:val="0"/>
        <w:keepLines w:val="0"/>
        <w:pageBreakBefore w:val="0"/>
        <w:widowControl/>
        <w:kinsoku/>
        <w:overflowPunct/>
        <w:topLinePunct w:val="0"/>
        <w:autoSpaceDE/>
        <w:autoSpaceDN/>
        <w:bidi w:val="0"/>
        <w:adjustRightInd/>
        <w:snapToGrid/>
        <w:jc w:val="center"/>
        <w:textAlignment w:val="auto"/>
        <w:rPr>
          <w:rFonts w:hint="eastAsia" w:ascii="方正公文黑体" w:hAnsi="方正公文黑体" w:eastAsia="方正公文黑体" w:cs="方正公文黑体"/>
          <w:sz w:val="36"/>
          <w:szCs w:val="36"/>
        </w:rPr>
      </w:pPr>
      <w:r>
        <w:rPr>
          <w:rFonts w:hint="eastAsia" w:ascii="方正公文黑体" w:hAnsi="方正公文黑体" w:eastAsia="方正公文黑体" w:cs="方正公文黑体"/>
          <w:sz w:val="36"/>
          <w:szCs w:val="36"/>
        </w:rPr>
        <w:t>202</w:t>
      </w:r>
      <w:r>
        <w:rPr>
          <w:rFonts w:hint="eastAsia" w:ascii="方正公文黑体" w:hAnsi="方正公文黑体" w:eastAsia="方正公文黑体" w:cs="方正公文黑体"/>
          <w:sz w:val="36"/>
          <w:szCs w:val="36"/>
          <w:lang w:val="en-US" w:eastAsia="zh-CN"/>
        </w:rPr>
        <w:t>4</w:t>
      </w:r>
      <w:r>
        <w:rPr>
          <w:rFonts w:hint="eastAsia" w:ascii="方正公文黑体" w:hAnsi="方正公文黑体" w:eastAsia="方正公文黑体" w:cs="方正公文黑体"/>
          <w:sz w:val="36"/>
          <w:szCs w:val="36"/>
        </w:rPr>
        <w:t>年天津工业职业学院招收退役士兵实施方案</w:t>
      </w:r>
    </w:p>
    <w:p>
      <w:pPr>
        <w:keepNext w:val="0"/>
        <w:keepLines w:val="0"/>
        <w:pageBreakBefore w:val="0"/>
        <w:widowControl/>
        <w:kinsoku/>
        <w:overflowPunct/>
        <w:topLinePunct w:val="0"/>
        <w:autoSpaceDE/>
        <w:autoSpaceDN/>
        <w:bidi w:val="0"/>
        <w:adjustRightInd/>
        <w:snapToGrid/>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根据天津市退役军人事务局等七部门联合印发的《天津市退役士兵教育培训工作暂行办法》的有关规定和天津市招生考试院印发的《202</w:t>
      </w: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rPr>
        <w:t>年天津市高职院校分类考试招生实施办法》，制定天津工业职业学院招收退役士兵实施方案如下：</w:t>
      </w:r>
    </w:p>
    <w:p>
      <w:pPr>
        <w:keepNext w:val="0"/>
        <w:keepLines w:val="0"/>
        <w:pageBreakBefore w:val="0"/>
        <w:widowControl/>
        <w:kinsoku/>
        <w:overflowPunct/>
        <w:topLinePunct w:val="0"/>
        <w:autoSpaceDE/>
        <w:autoSpaceDN/>
        <w:bidi w:val="0"/>
        <w:adjustRightInd/>
        <w:snapToGrid/>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rPr>
        <w:t>报考条件</w:t>
      </w:r>
    </w:p>
    <w:p>
      <w:pPr>
        <w:keepNext w:val="0"/>
        <w:keepLines w:val="0"/>
        <w:pageBreakBefore w:val="0"/>
        <w:widowControl/>
        <w:kinsoku/>
        <w:overflowPunct/>
        <w:topLinePunct w:val="0"/>
        <w:autoSpaceDE/>
        <w:autoSpaceDN/>
        <w:bidi w:val="0"/>
        <w:adjustRightInd/>
        <w:snapToGrid/>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完成高中学业的天津籍退役士兵</w:t>
      </w:r>
    </w:p>
    <w:p>
      <w:pPr>
        <w:keepNext w:val="0"/>
        <w:keepLines w:val="0"/>
        <w:pageBreakBefore w:val="0"/>
        <w:widowControl/>
        <w:kinsoku/>
        <w:overflowPunct/>
        <w:topLinePunct w:val="0"/>
        <w:autoSpaceDE/>
        <w:autoSpaceDN/>
        <w:bidi w:val="0"/>
        <w:adjustRightInd/>
        <w:snapToGrid/>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必须按照普通考生完成报名手续，报名程序</w:t>
      </w:r>
    </w:p>
    <w:p>
      <w:pPr>
        <w:keepNext w:val="0"/>
        <w:keepLines w:val="0"/>
        <w:pageBreakBefore w:val="0"/>
        <w:widowControl/>
        <w:kinsoku/>
        <w:overflowPunct/>
        <w:topLinePunct w:val="0"/>
        <w:autoSpaceDE/>
        <w:autoSpaceDN/>
        <w:bidi w:val="0"/>
        <w:adjustRightInd/>
        <w:snapToGrid/>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填写《202</w:t>
      </w: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rPr>
        <w:t>年天津市高职院校分类考试退役士兵免试文化素质考试审批表》并完成资格审核手续。</w:t>
      </w:r>
    </w:p>
    <w:p>
      <w:pPr>
        <w:keepNext w:val="0"/>
        <w:keepLines w:val="0"/>
        <w:pageBreakBefore w:val="0"/>
        <w:widowControl/>
        <w:kinsoku/>
        <w:overflowPunct/>
        <w:topLinePunct w:val="0"/>
        <w:autoSpaceDE/>
        <w:autoSpaceDN/>
        <w:bidi w:val="0"/>
        <w:adjustRightInd/>
        <w:snapToGrid/>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rPr>
        <w:t>考试</w:t>
      </w:r>
    </w:p>
    <w:p>
      <w:pPr>
        <w:keepNext w:val="0"/>
        <w:keepLines w:val="0"/>
        <w:pageBreakBefore w:val="0"/>
        <w:widowControl/>
        <w:kinsoku/>
        <w:overflowPunct/>
        <w:topLinePunct w:val="0"/>
        <w:autoSpaceDE/>
        <w:autoSpaceDN/>
        <w:bidi w:val="0"/>
        <w:adjustRightInd/>
        <w:snapToGrid/>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考试方式</w:t>
      </w:r>
    </w:p>
    <w:p>
      <w:pPr>
        <w:keepNext w:val="0"/>
        <w:keepLines w:val="0"/>
        <w:pageBreakBefore w:val="0"/>
        <w:widowControl/>
        <w:kinsoku/>
        <w:overflowPunct/>
        <w:topLinePunct w:val="0"/>
        <w:autoSpaceDE/>
        <w:autoSpaceDN/>
        <w:bidi w:val="0"/>
        <w:adjustRightInd/>
        <w:snapToGrid/>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符合退役士兵免试文化素质考试条件的考生，按照学院公布的招生专业参加本院组织与报考专业的职业适应性测试或职业技能测试，依据测试成绩择优录取。</w:t>
      </w:r>
    </w:p>
    <w:p>
      <w:pPr>
        <w:keepNext w:val="0"/>
        <w:keepLines w:val="0"/>
        <w:pageBreakBefore w:val="0"/>
        <w:widowControl/>
        <w:numPr>
          <w:ilvl w:val="0"/>
          <w:numId w:val="1"/>
        </w:numPr>
        <w:kinsoku/>
        <w:overflowPunct/>
        <w:topLinePunct w:val="0"/>
        <w:autoSpaceDE/>
        <w:autoSpaceDN/>
        <w:bidi w:val="0"/>
        <w:adjustRightInd/>
        <w:snapToGrid/>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考试要求</w:t>
      </w:r>
    </w:p>
    <w:p>
      <w:pPr>
        <w:keepNext w:val="0"/>
        <w:keepLines w:val="0"/>
        <w:pageBreakBefore w:val="0"/>
        <w:widowControl/>
        <w:numPr>
          <w:numId w:val="0"/>
        </w:numPr>
        <w:kinsoku/>
        <w:overflowPunct/>
        <w:topLinePunct w:val="0"/>
        <w:autoSpaceDE/>
        <w:autoSpaceDN/>
        <w:bidi w:val="0"/>
        <w:adjustRightInd/>
        <w:snapToGrid/>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考生须携带有效身份证件、免试文化素质考试审批表，参加考试。</w:t>
      </w:r>
    </w:p>
    <w:p>
      <w:pPr>
        <w:keepNext w:val="0"/>
        <w:keepLines w:val="0"/>
        <w:pageBreakBefore w:val="0"/>
        <w:widowControl/>
        <w:kinsoku/>
        <w:overflowPunct/>
        <w:topLinePunct w:val="0"/>
        <w:autoSpaceDE/>
        <w:autoSpaceDN/>
        <w:bidi w:val="0"/>
        <w:adjustRightInd/>
        <w:snapToGrid/>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《职业技能》测试：</w:t>
      </w:r>
    </w:p>
    <w:p>
      <w:pPr>
        <w:keepNext w:val="0"/>
        <w:keepLines w:val="0"/>
        <w:pageBreakBefore w:val="0"/>
        <w:widowControl/>
        <w:kinsoku/>
        <w:overflowPunct/>
        <w:topLinePunct w:val="0"/>
        <w:autoSpaceDE/>
        <w:autoSpaceDN/>
        <w:bidi w:val="0"/>
        <w:adjustRightInd/>
        <w:snapToGrid/>
        <w:ind w:firstLine="600" w:firstLineChars="200"/>
        <w:textAlignment w:val="auto"/>
        <w:rPr>
          <w:rFonts w:hint="eastAsia" w:ascii="华文仿宋" w:hAnsi="华文仿宋" w:eastAsia="华文仿宋" w:cs="华文仿宋"/>
          <w:sz w:val="30"/>
          <w:szCs w:val="30"/>
        </w:rPr>
      </w:pPr>
    </w:p>
    <w:p>
      <w:pPr>
        <w:keepNext w:val="0"/>
        <w:keepLines w:val="0"/>
        <w:pageBreakBefore w:val="0"/>
        <w:widowControl/>
        <w:kinsoku/>
        <w:overflowPunct/>
        <w:topLinePunct w:val="0"/>
        <w:autoSpaceDE/>
        <w:autoSpaceDN/>
        <w:bidi w:val="0"/>
        <w:adjustRightInd/>
        <w:snapToGrid/>
        <w:ind w:firstLine="600" w:firstLineChars="200"/>
        <w:textAlignment w:val="auto"/>
        <w:rPr>
          <w:rFonts w:hint="eastAsia" w:ascii="华文仿宋" w:hAnsi="华文仿宋" w:eastAsia="华文仿宋" w:cs="华文仿宋"/>
          <w:sz w:val="30"/>
          <w:szCs w:val="30"/>
        </w:rPr>
      </w:pPr>
    </w:p>
    <w:p>
      <w:pPr>
        <w:keepNext w:val="0"/>
        <w:keepLines w:val="0"/>
        <w:pageBreakBefore w:val="0"/>
        <w:widowControl/>
        <w:kinsoku/>
        <w:overflowPunct/>
        <w:topLinePunct w:val="0"/>
        <w:autoSpaceDE/>
        <w:autoSpaceDN/>
        <w:bidi w:val="0"/>
        <w:adjustRightInd/>
        <w:snapToGrid/>
        <w:ind w:firstLine="600" w:firstLineChars="200"/>
        <w:textAlignment w:val="auto"/>
        <w:rPr>
          <w:rFonts w:hint="eastAsia" w:ascii="华文仿宋" w:hAnsi="华文仿宋" w:eastAsia="华文仿宋" w:cs="华文仿宋"/>
          <w:sz w:val="30"/>
          <w:szCs w:val="30"/>
        </w:rPr>
      </w:pPr>
      <w:bookmarkStart w:id="0" w:name="_GoBack"/>
      <w:bookmarkEnd w:id="0"/>
    </w:p>
    <w:tbl>
      <w:tblPr>
        <w:tblStyle w:val="25"/>
        <w:tblW w:w="8415"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792"/>
        <w:gridCol w:w="1514"/>
        <w:gridCol w:w="1134"/>
        <w:gridCol w:w="2958"/>
        <w:gridCol w:w="101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792" w:type="dxa"/>
            <w:tcBorders>
              <w:top w:val="single" w:color="000000" w:sz="6" w:space="0"/>
              <w:left w:val="single" w:color="000000" w:sz="6" w:space="0"/>
              <w:bottom w:val="single" w:color="000000" w:sz="6" w:space="0"/>
              <w:right w:val="single" w:color="000000" w:sz="6" w:space="0"/>
            </w:tcBorders>
            <w:shd w:val="clear" w:color="000000" w:fill="FFFFFF"/>
            <w:tcMar>
              <w:top w:w="30" w:type="dxa"/>
              <w:left w:w="45" w:type="dxa"/>
              <w:bottom w:w="30" w:type="dxa"/>
              <w:right w:w="4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华文仿宋" w:hAnsi="华文仿宋" w:eastAsia="华文仿宋" w:cs="华文仿宋"/>
                <w:sz w:val="22"/>
                <w:szCs w:val="22"/>
              </w:rPr>
            </w:pPr>
            <w:r>
              <w:rPr>
                <w:rFonts w:hint="eastAsia" w:ascii="华文仿宋" w:hAnsi="华文仿宋" w:eastAsia="华文仿宋" w:cs="华文仿宋"/>
                <w:sz w:val="22"/>
                <w:szCs w:val="22"/>
              </w:rPr>
              <w:t>专业名称</w:t>
            </w:r>
          </w:p>
        </w:tc>
        <w:tc>
          <w:tcPr>
            <w:tcW w:w="1514" w:type="dxa"/>
            <w:tcBorders>
              <w:top w:val="single" w:color="000000" w:sz="6" w:space="0"/>
              <w:left w:val="single" w:color="000000" w:sz="6" w:space="0"/>
              <w:bottom w:val="single" w:color="000000" w:sz="6" w:space="0"/>
              <w:right w:val="single" w:color="000000" w:sz="6" w:space="0"/>
            </w:tcBorders>
            <w:shd w:val="clear" w:color="000000" w:fill="FFFFFF"/>
            <w:tcMar>
              <w:top w:w="30" w:type="dxa"/>
              <w:left w:w="45" w:type="dxa"/>
              <w:bottom w:w="30" w:type="dxa"/>
              <w:right w:w="4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华文仿宋" w:hAnsi="华文仿宋" w:eastAsia="华文仿宋" w:cs="华文仿宋"/>
                <w:sz w:val="22"/>
                <w:szCs w:val="22"/>
              </w:rPr>
            </w:pPr>
            <w:r>
              <w:rPr>
                <w:rFonts w:hint="eastAsia" w:ascii="华文仿宋" w:hAnsi="华文仿宋" w:eastAsia="华文仿宋" w:cs="华文仿宋"/>
                <w:sz w:val="22"/>
                <w:szCs w:val="22"/>
              </w:rPr>
              <w:t>考试科目</w:t>
            </w:r>
          </w:p>
        </w:tc>
        <w:tc>
          <w:tcPr>
            <w:tcW w:w="1134" w:type="dxa"/>
            <w:tcBorders>
              <w:top w:val="single" w:color="000000" w:sz="6" w:space="0"/>
              <w:left w:val="single" w:color="000000" w:sz="6" w:space="0"/>
              <w:bottom w:val="single" w:color="000000" w:sz="6" w:space="0"/>
              <w:right w:val="single" w:color="000000" w:sz="6" w:space="0"/>
            </w:tcBorders>
            <w:shd w:val="clear" w:color="000000" w:fill="FFFFFF"/>
            <w:tcMar>
              <w:top w:w="30" w:type="dxa"/>
              <w:left w:w="45" w:type="dxa"/>
              <w:bottom w:w="30" w:type="dxa"/>
              <w:right w:w="4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华文仿宋" w:hAnsi="华文仿宋" w:eastAsia="华文仿宋" w:cs="华文仿宋"/>
                <w:sz w:val="22"/>
                <w:szCs w:val="22"/>
              </w:rPr>
            </w:pPr>
            <w:r>
              <w:rPr>
                <w:rFonts w:hint="eastAsia" w:ascii="华文仿宋" w:hAnsi="华文仿宋" w:eastAsia="华文仿宋" w:cs="华文仿宋"/>
                <w:sz w:val="22"/>
                <w:szCs w:val="22"/>
              </w:rPr>
              <w:t>考试方式</w:t>
            </w:r>
          </w:p>
        </w:tc>
        <w:tc>
          <w:tcPr>
            <w:tcW w:w="2958" w:type="dxa"/>
            <w:tcBorders>
              <w:top w:val="single" w:color="000000" w:sz="6" w:space="0"/>
              <w:left w:val="single" w:color="000000" w:sz="6" w:space="0"/>
              <w:bottom w:val="single" w:color="000000" w:sz="6" w:space="0"/>
              <w:right w:val="single" w:color="000000" w:sz="6" w:space="0"/>
            </w:tcBorders>
            <w:shd w:val="clear" w:color="000000" w:fill="FFFFFF"/>
            <w:tcMar>
              <w:top w:w="30" w:type="dxa"/>
              <w:left w:w="45" w:type="dxa"/>
              <w:bottom w:w="30" w:type="dxa"/>
              <w:right w:w="4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华文仿宋" w:hAnsi="华文仿宋" w:eastAsia="华文仿宋" w:cs="华文仿宋"/>
                <w:sz w:val="22"/>
                <w:szCs w:val="22"/>
              </w:rPr>
            </w:pPr>
            <w:r>
              <w:rPr>
                <w:rFonts w:hint="eastAsia" w:ascii="华文仿宋" w:hAnsi="华文仿宋" w:eastAsia="华文仿宋" w:cs="华文仿宋"/>
                <w:sz w:val="22"/>
                <w:szCs w:val="22"/>
              </w:rPr>
              <w:t>考试内容</w:t>
            </w:r>
          </w:p>
        </w:tc>
        <w:tc>
          <w:tcPr>
            <w:tcW w:w="1017" w:type="dxa"/>
            <w:tcBorders>
              <w:top w:val="single" w:color="000000" w:sz="6" w:space="0"/>
              <w:left w:val="single" w:color="000000" w:sz="6" w:space="0"/>
              <w:bottom w:val="single" w:color="000000" w:sz="6" w:space="0"/>
              <w:right w:val="single" w:color="000000" w:sz="6" w:space="0"/>
            </w:tcBorders>
            <w:shd w:val="clear" w:color="000000" w:fill="FFFFFF"/>
            <w:tcMar>
              <w:top w:w="30" w:type="dxa"/>
              <w:left w:w="45" w:type="dxa"/>
              <w:bottom w:w="30" w:type="dxa"/>
              <w:right w:w="4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华文仿宋" w:hAnsi="华文仿宋" w:eastAsia="华文仿宋" w:cs="华文仿宋"/>
                <w:sz w:val="22"/>
                <w:szCs w:val="22"/>
              </w:rPr>
            </w:pPr>
            <w:r>
              <w:rPr>
                <w:rFonts w:hint="eastAsia" w:ascii="华文仿宋" w:hAnsi="华文仿宋" w:eastAsia="华文仿宋" w:cs="华文仿宋"/>
                <w:sz w:val="22"/>
                <w:szCs w:val="22"/>
              </w:rPr>
              <w:t>分值</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38" w:hRule="atLeast"/>
          <w:jc w:val="center"/>
        </w:trPr>
        <w:tc>
          <w:tcPr>
            <w:tcW w:w="1792" w:type="dxa"/>
            <w:tcBorders>
              <w:top w:val="single" w:color="000000" w:sz="6" w:space="0"/>
              <w:left w:val="single" w:color="000000" w:sz="6" w:space="0"/>
              <w:bottom w:val="single" w:color="000000" w:sz="6" w:space="0"/>
              <w:right w:val="single" w:color="000000" w:sz="6" w:space="0"/>
            </w:tcBorders>
            <w:shd w:val="clear" w:color="000000" w:fill="FFFFFF"/>
            <w:tcMar>
              <w:top w:w="30" w:type="dxa"/>
              <w:left w:w="45" w:type="dxa"/>
              <w:bottom w:w="30" w:type="dxa"/>
              <w:right w:w="4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华文仿宋" w:hAnsi="华文仿宋" w:eastAsia="华文仿宋" w:cs="华文仿宋"/>
                <w:sz w:val="21"/>
                <w:szCs w:val="21"/>
              </w:rPr>
            </w:pPr>
            <w:r>
              <w:rPr>
                <w:rFonts w:hint="eastAsia" w:ascii="华文仿宋" w:hAnsi="华文仿宋" w:eastAsia="华文仿宋" w:cs="华文仿宋"/>
                <w:sz w:val="21"/>
                <w:szCs w:val="21"/>
              </w:rPr>
              <w:t>电气自动化技术</w:t>
            </w:r>
          </w:p>
        </w:tc>
        <w:tc>
          <w:tcPr>
            <w:tcW w:w="1514" w:type="dxa"/>
            <w:tcBorders>
              <w:top w:val="single" w:color="000000" w:sz="6" w:space="0"/>
              <w:left w:val="single" w:color="000000" w:sz="6" w:space="0"/>
              <w:bottom w:val="single" w:color="000000" w:sz="6" w:space="0"/>
              <w:right w:val="single" w:color="000000" w:sz="6" w:space="0"/>
            </w:tcBorders>
            <w:shd w:val="clear" w:color="000000" w:fill="FFFFFF"/>
            <w:tcMar>
              <w:top w:w="30" w:type="dxa"/>
              <w:left w:w="45" w:type="dxa"/>
              <w:bottom w:w="30" w:type="dxa"/>
              <w:right w:w="4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华文仿宋" w:hAnsi="华文仿宋" w:eastAsia="华文仿宋" w:cs="华文仿宋"/>
                <w:sz w:val="21"/>
                <w:szCs w:val="21"/>
              </w:rPr>
            </w:pPr>
            <w:r>
              <w:rPr>
                <w:rFonts w:hint="eastAsia" w:ascii="华文仿宋" w:hAnsi="华文仿宋" w:eastAsia="华文仿宋" w:cs="华文仿宋"/>
                <w:sz w:val="21"/>
                <w:szCs w:val="21"/>
              </w:rPr>
              <w:t>电工操作基础技能</w:t>
            </w:r>
          </w:p>
        </w:tc>
        <w:tc>
          <w:tcPr>
            <w:tcW w:w="1134" w:type="dxa"/>
            <w:vMerge w:val="restart"/>
            <w:tcBorders>
              <w:top w:val="single" w:color="000000" w:sz="6" w:space="0"/>
              <w:left w:val="single" w:color="000000" w:sz="6" w:space="0"/>
              <w:bottom w:val="single" w:color="000000" w:sz="6" w:space="0"/>
              <w:right w:val="single" w:color="000000" w:sz="6" w:space="0"/>
            </w:tcBorders>
            <w:shd w:val="clear" w:color="000000" w:fill="FFFFFF"/>
            <w:tcMar>
              <w:top w:w="30" w:type="dxa"/>
              <w:left w:w="45" w:type="dxa"/>
              <w:bottom w:w="30" w:type="dxa"/>
              <w:right w:w="4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华文仿宋" w:hAnsi="华文仿宋" w:eastAsia="华文仿宋" w:cs="华文仿宋"/>
                <w:sz w:val="21"/>
                <w:szCs w:val="21"/>
              </w:rPr>
            </w:pPr>
            <w:r>
              <w:rPr>
                <w:rFonts w:hint="eastAsia" w:ascii="华文仿宋" w:hAnsi="华文仿宋" w:eastAsia="华文仿宋" w:cs="华文仿宋"/>
                <w:sz w:val="21"/>
                <w:szCs w:val="21"/>
              </w:rPr>
              <w:t>实际操作+</w:t>
            </w: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华文仿宋" w:hAnsi="华文仿宋" w:eastAsia="华文仿宋" w:cs="华文仿宋"/>
                <w:sz w:val="21"/>
                <w:szCs w:val="21"/>
              </w:rPr>
            </w:pPr>
            <w:r>
              <w:rPr>
                <w:rFonts w:hint="eastAsia" w:ascii="华文仿宋" w:hAnsi="华文仿宋" w:eastAsia="华文仿宋" w:cs="华文仿宋"/>
                <w:sz w:val="21"/>
                <w:szCs w:val="21"/>
              </w:rPr>
              <w:t>职业素养面试</w:t>
            </w:r>
          </w:p>
        </w:tc>
        <w:tc>
          <w:tcPr>
            <w:tcW w:w="2958" w:type="dxa"/>
            <w:tcBorders>
              <w:top w:val="single" w:color="000000" w:sz="6" w:space="0"/>
              <w:left w:val="single" w:color="000000" w:sz="6" w:space="0"/>
              <w:bottom w:val="single" w:color="000000" w:sz="6" w:space="0"/>
              <w:right w:val="single" w:color="000000" w:sz="6" w:space="0"/>
            </w:tcBorders>
            <w:shd w:val="clear" w:color="000000" w:fill="FFFFFF"/>
            <w:tcMar>
              <w:top w:w="30" w:type="dxa"/>
              <w:left w:w="45" w:type="dxa"/>
              <w:bottom w:w="30" w:type="dxa"/>
              <w:right w:w="4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华文仿宋" w:hAnsi="华文仿宋" w:eastAsia="华文仿宋" w:cs="华文仿宋"/>
                <w:sz w:val="21"/>
                <w:szCs w:val="21"/>
              </w:rPr>
            </w:pPr>
            <w:r>
              <w:rPr>
                <w:rFonts w:hint="eastAsia" w:ascii="华文仿宋" w:hAnsi="华文仿宋" w:eastAsia="华文仿宋" w:cs="华文仿宋"/>
                <w:sz w:val="21"/>
                <w:szCs w:val="21"/>
              </w:rPr>
              <w:t>照明电路的安装与调试、职业素养面试。</w:t>
            </w:r>
          </w:p>
        </w:tc>
        <w:tc>
          <w:tcPr>
            <w:tcW w:w="1017" w:type="dxa"/>
            <w:tcBorders>
              <w:top w:val="single" w:color="000000" w:sz="6" w:space="0"/>
              <w:left w:val="single" w:color="000000" w:sz="6" w:space="0"/>
              <w:bottom w:val="single" w:color="000000" w:sz="6" w:space="0"/>
              <w:right w:val="single" w:color="000000" w:sz="6" w:space="0"/>
            </w:tcBorders>
            <w:shd w:val="clear" w:color="000000" w:fill="FFFFFF"/>
            <w:tcMar>
              <w:top w:w="30" w:type="dxa"/>
              <w:left w:w="45" w:type="dxa"/>
              <w:bottom w:w="30" w:type="dxa"/>
              <w:right w:w="45" w:type="dxa"/>
            </w:tcMar>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华文仿宋" w:hAnsi="华文仿宋" w:eastAsia="华文仿宋" w:cs="华文仿宋"/>
                <w:sz w:val="21"/>
                <w:szCs w:val="21"/>
              </w:rPr>
            </w:pPr>
            <w:r>
              <w:rPr>
                <w:rFonts w:hint="eastAsia" w:ascii="华文仿宋" w:hAnsi="华文仿宋" w:eastAsia="华文仿宋" w:cs="华文仿宋"/>
                <w:sz w:val="21"/>
                <w:szCs w:val="21"/>
              </w:rPr>
              <w:t>200分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33" w:hRule="atLeast"/>
          <w:jc w:val="center"/>
        </w:trPr>
        <w:tc>
          <w:tcPr>
            <w:tcW w:w="1792" w:type="dxa"/>
            <w:tcBorders>
              <w:top w:val="single" w:color="000000" w:sz="6" w:space="0"/>
              <w:left w:val="single" w:color="000000" w:sz="6" w:space="0"/>
              <w:bottom w:val="single" w:color="000000" w:sz="6" w:space="0"/>
              <w:right w:val="single" w:color="000000" w:sz="6" w:space="0"/>
            </w:tcBorders>
            <w:shd w:val="clear" w:color="000000" w:fill="FFFFFF"/>
            <w:tcMar>
              <w:top w:w="30" w:type="dxa"/>
              <w:left w:w="45" w:type="dxa"/>
              <w:bottom w:w="30" w:type="dxa"/>
              <w:right w:w="45" w:type="dxa"/>
            </w:tcMar>
            <w:vAlign w:val="center"/>
          </w:tcPr>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华文仿宋" w:hAnsi="华文仿宋" w:eastAsia="华文仿宋" w:cs="华文仿宋"/>
                <w:sz w:val="21"/>
                <w:szCs w:val="21"/>
              </w:rPr>
            </w:pPr>
            <w:r>
              <w:rPr>
                <w:rFonts w:hint="eastAsia" w:ascii="华文仿宋" w:hAnsi="华文仿宋" w:eastAsia="华文仿宋" w:cs="华文仿宋"/>
                <w:sz w:val="21"/>
                <w:szCs w:val="21"/>
              </w:rPr>
              <w:t>机械制造及自动化</w:t>
            </w:r>
          </w:p>
        </w:tc>
        <w:tc>
          <w:tcPr>
            <w:tcW w:w="1514" w:type="dxa"/>
            <w:tcBorders>
              <w:top w:val="single" w:color="000000" w:sz="6" w:space="0"/>
              <w:left w:val="single" w:color="000000" w:sz="6" w:space="0"/>
              <w:bottom w:val="single" w:color="000000" w:sz="6" w:space="0"/>
              <w:right w:val="single" w:color="000000" w:sz="6" w:space="0"/>
            </w:tcBorders>
            <w:shd w:val="clear" w:color="000000" w:fill="FFFFFF"/>
            <w:tcMar>
              <w:top w:w="30" w:type="dxa"/>
              <w:left w:w="45" w:type="dxa"/>
              <w:bottom w:w="30" w:type="dxa"/>
              <w:right w:w="45" w:type="dxa"/>
            </w:tcMar>
            <w:vAlign w:val="center"/>
          </w:tcPr>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华文仿宋" w:hAnsi="华文仿宋" w:eastAsia="华文仿宋" w:cs="华文仿宋"/>
                <w:sz w:val="21"/>
                <w:szCs w:val="21"/>
              </w:rPr>
            </w:pPr>
            <w:r>
              <w:rPr>
                <w:rFonts w:hint="eastAsia" w:ascii="华文仿宋" w:hAnsi="华文仿宋" w:eastAsia="华文仿宋" w:cs="华文仿宋"/>
                <w:sz w:val="21"/>
                <w:szCs w:val="21"/>
              </w:rPr>
              <w:t>机械基础知识与技能</w:t>
            </w:r>
          </w:p>
        </w:tc>
        <w:tc>
          <w:tcPr>
            <w:tcW w:w="1134"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华文仿宋" w:hAnsi="华文仿宋" w:eastAsia="华文仿宋" w:cs="华文仿宋"/>
                <w:sz w:val="21"/>
                <w:szCs w:val="21"/>
              </w:rPr>
            </w:pPr>
          </w:p>
        </w:tc>
        <w:tc>
          <w:tcPr>
            <w:tcW w:w="2958" w:type="dxa"/>
            <w:tcBorders>
              <w:top w:val="single" w:color="000000" w:sz="6" w:space="0"/>
              <w:left w:val="single" w:color="000000" w:sz="6" w:space="0"/>
              <w:bottom w:val="single" w:color="000000" w:sz="6" w:space="0"/>
              <w:right w:val="single" w:color="000000" w:sz="6" w:space="0"/>
            </w:tcBorders>
            <w:shd w:val="clear" w:color="000000" w:fill="FFFFFF"/>
            <w:tcMar>
              <w:top w:w="30" w:type="dxa"/>
              <w:left w:w="45" w:type="dxa"/>
              <w:bottom w:w="30" w:type="dxa"/>
              <w:right w:w="45" w:type="dxa"/>
            </w:tcMar>
            <w:vAlign w:val="center"/>
          </w:tcPr>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华文仿宋" w:hAnsi="华文仿宋" w:eastAsia="华文仿宋" w:cs="华文仿宋"/>
                <w:sz w:val="21"/>
                <w:szCs w:val="21"/>
              </w:rPr>
            </w:pPr>
            <w:r>
              <w:rPr>
                <w:rFonts w:hint="eastAsia" w:ascii="华文仿宋" w:hAnsi="华文仿宋" w:eastAsia="华文仿宋" w:cs="华文仿宋"/>
                <w:sz w:val="21"/>
                <w:szCs w:val="21"/>
              </w:rPr>
              <w:t>机械识图与机械结构认知、职业素养面试。</w:t>
            </w:r>
          </w:p>
        </w:tc>
        <w:tc>
          <w:tcPr>
            <w:tcW w:w="1017" w:type="dxa"/>
            <w:tcBorders>
              <w:top w:val="single" w:color="000000" w:sz="6" w:space="0"/>
              <w:left w:val="single" w:color="000000" w:sz="6" w:space="0"/>
              <w:bottom w:val="single" w:color="000000" w:sz="6" w:space="0"/>
              <w:right w:val="single" w:color="000000" w:sz="6" w:space="0"/>
            </w:tcBorders>
            <w:shd w:val="clear" w:color="000000" w:fill="FFFFFF"/>
            <w:tcMar>
              <w:top w:w="30" w:type="dxa"/>
              <w:left w:w="45" w:type="dxa"/>
              <w:bottom w:w="30" w:type="dxa"/>
              <w:right w:w="45" w:type="dxa"/>
            </w:tcMar>
            <w:vAlign w:val="center"/>
          </w:tcPr>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华文仿宋" w:hAnsi="华文仿宋" w:eastAsia="华文仿宋" w:cs="华文仿宋"/>
                <w:sz w:val="21"/>
                <w:szCs w:val="21"/>
              </w:rPr>
            </w:pPr>
            <w:r>
              <w:rPr>
                <w:rFonts w:hint="eastAsia" w:ascii="华文仿宋" w:hAnsi="华文仿宋" w:eastAsia="华文仿宋" w:cs="华文仿宋"/>
                <w:sz w:val="21"/>
                <w:szCs w:val="21"/>
              </w:rPr>
              <w:t>200分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1792" w:type="dxa"/>
            <w:tcBorders>
              <w:top w:val="single" w:color="000000" w:sz="6" w:space="0"/>
              <w:left w:val="single" w:color="000000" w:sz="6" w:space="0"/>
              <w:bottom w:val="single" w:color="000000" w:sz="6" w:space="0"/>
              <w:right w:val="single" w:color="000000" w:sz="6" w:space="0"/>
            </w:tcBorders>
            <w:shd w:val="clear" w:color="000000" w:fill="FFFFFF"/>
            <w:tcMar>
              <w:top w:w="30" w:type="dxa"/>
              <w:left w:w="45" w:type="dxa"/>
              <w:bottom w:w="30" w:type="dxa"/>
              <w:right w:w="45" w:type="dxa"/>
            </w:tcMar>
            <w:vAlign w:val="center"/>
          </w:tcPr>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华文仿宋" w:hAnsi="华文仿宋" w:eastAsia="华文仿宋" w:cs="华文仿宋"/>
                <w:sz w:val="21"/>
                <w:szCs w:val="21"/>
              </w:rPr>
            </w:pPr>
            <w:r>
              <w:rPr>
                <w:rFonts w:hint="eastAsia" w:ascii="华文仿宋" w:hAnsi="华文仿宋" w:eastAsia="华文仿宋" w:cs="华文仿宋"/>
                <w:sz w:val="21"/>
                <w:szCs w:val="21"/>
              </w:rPr>
              <w:t>电子商务</w:t>
            </w:r>
          </w:p>
        </w:tc>
        <w:tc>
          <w:tcPr>
            <w:tcW w:w="1514" w:type="dxa"/>
            <w:tcBorders>
              <w:top w:val="single" w:color="000000" w:sz="6" w:space="0"/>
              <w:left w:val="single" w:color="000000" w:sz="6" w:space="0"/>
              <w:bottom w:val="single" w:color="000000" w:sz="6" w:space="0"/>
              <w:right w:val="single" w:color="000000" w:sz="6" w:space="0"/>
            </w:tcBorders>
            <w:shd w:val="clear" w:color="000000" w:fill="FFFFFF"/>
            <w:tcMar>
              <w:top w:w="30" w:type="dxa"/>
              <w:left w:w="45" w:type="dxa"/>
              <w:bottom w:w="30" w:type="dxa"/>
              <w:right w:w="45" w:type="dxa"/>
            </w:tcMar>
            <w:vAlign w:val="center"/>
          </w:tcPr>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华文仿宋" w:hAnsi="华文仿宋" w:eastAsia="华文仿宋" w:cs="华文仿宋"/>
                <w:sz w:val="21"/>
                <w:szCs w:val="21"/>
              </w:rPr>
            </w:pPr>
            <w:r>
              <w:rPr>
                <w:rFonts w:hint="eastAsia" w:ascii="华文仿宋" w:hAnsi="华文仿宋" w:eastAsia="华文仿宋" w:cs="华文仿宋"/>
                <w:sz w:val="21"/>
                <w:szCs w:val="21"/>
              </w:rPr>
              <w:t>电子商务基础</w:t>
            </w:r>
          </w:p>
        </w:tc>
        <w:tc>
          <w:tcPr>
            <w:tcW w:w="1134"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华文仿宋" w:hAnsi="华文仿宋" w:eastAsia="华文仿宋" w:cs="华文仿宋"/>
                <w:sz w:val="21"/>
                <w:szCs w:val="21"/>
              </w:rPr>
            </w:pPr>
          </w:p>
        </w:tc>
        <w:tc>
          <w:tcPr>
            <w:tcW w:w="2958" w:type="dxa"/>
            <w:tcBorders>
              <w:top w:val="single" w:color="000000" w:sz="6" w:space="0"/>
              <w:left w:val="single" w:color="000000" w:sz="6" w:space="0"/>
              <w:bottom w:val="single" w:color="000000" w:sz="6" w:space="0"/>
              <w:right w:val="single" w:color="000000" w:sz="6" w:space="0"/>
            </w:tcBorders>
            <w:shd w:val="clear" w:color="000000" w:fill="FFFFFF"/>
            <w:tcMar>
              <w:top w:w="30" w:type="dxa"/>
              <w:left w:w="45" w:type="dxa"/>
              <w:bottom w:w="30" w:type="dxa"/>
              <w:right w:w="45" w:type="dxa"/>
            </w:tcMar>
            <w:vAlign w:val="center"/>
          </w:tcPr>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华文仿宋" w:hAnsi="华文仿宋" w:eastAsia="华文仿宋" w:cs="华文仿宋"/>
                <w:sz w:val="21"/>
                <w:szCs w:val="21"/>
              </w:rPr>
            </w:pPr>
            <w:r>
              <w:rPr>
                <w:rFonts w:hint="eastAsia" w:ascii="华文仿宋" w:hAnsi="华文仿宋" w:eastAsia="华文仿宋" w:cs="华文仿宋"/>
                <w:sz w:val="21"/>
                <w:szCs w:val="21"/>
              </w:rPr>
              <w:t>计算机应用技能、职业素养面试</w:t>
            </w:r>
          </w:p>
        </w:tc>
        <w:tc>
          <w:tcPr>
            <w:tcW w:w="1017" w:type="dxa"/>
            <w:tcBorders>
              <w:top w:val="single" w:color="000000" w:sz="6" w:space="0"/>
              <w:left w:val="single" w:color="000000" w:sz="6" w:space="0"/>
              <w:bottom w:val="single" w:color="000000" w:sz="6" w:space="0"/>
              <w:right w:val="single" w:color="000000" w:sz="6" w:space="0"/>
            </w:tcBorders>
            <w:shd w:val="clear" w:color="000000" w:fill="FFFFFF"/>
            <w:tcMar>
              <w:top w:w="30" w:type="dxa"/>
              <w:left w:w="45" w:type="dxa"/>
              <w:bottom w:w="30" w:type="dxa"/>
              <w:right w:w="45" w:type="dxa"/>
            </w:tcMar>
            <w:vAlign w:val="center"/>
          </w:tcPr>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华文仿宋" w:hAnsi="华文仿宋" w:eastAsia="华文仿宋" w:cs="华文仿宋"/>
                <w:sz w:val="21"/>
                <w:szCs w:val="21"/>
              </w:rPr>
            </w:pPr>
            <w:r>
              <w:rPr>
                <w:rFonts w:hint="eastAsia" w:ascii="华文仿宋" w:hAnsi="华文仿宋" w:eastAsia="华文仿宋" w:cs="华文仿宋"/>
                <w:sz w:val="21"/>
                <w:szCs w:val="21"/>
              </w:rPr>
              <w:t>200分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63" w:hRule="atLeast"/>
          <w:jc w:val="center"/>
        </w:trPr>
        <w:tc>
          <w:tcPr>
            <w:tcW w:w="1792" w:type="dxa"/>
            <w:tcBorders>
              <w:top w:val="single" w:color="000000" w:sz="6" w:space="0"/>
              <w:left w:val="single" w:color="000000" w:sz="6" w:space="0"/>
              <w:bottom w:val="single" w:color="000000" w:sz="6" w:space="0"/>
              <w:right w:val="single" w:color="000000" w:sz="6" w:space="0"/>
            </w:tcBorders>
            <w:shd w:val="clear" w:color="000000" w:fill="FFFFFF"/>
            <w:tcMar>
              <w:top w:w="30" w:type="dxa"/>
              <w:left w:w="45" w:type="dxa"/>
              <w:bottom w:w="30" w:type="dxa"/>
              <w:right w:w="45" w:type="dxa"/>
            </w:tcMar>
            <w:vAlign w:val="center"/>
          </w:tcPr>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华文仿宋" w:hAnsi="华文仿宋" w:eastAsia="华文仿宋" w:cs="华文仿宋"/>
                <w:sz w:val="21"/>
                <w:szCs w:val="21"/>
              </w:rPr>
            </w:pPr>
            <w:r>
              <w:rPr>
                <w:rFonts w:hint="eastAsia" w:ascii="华文仿宋" w:hAnsi="华文仿宋" w:eastAsia="华文仿宋" w:cs="华文仿宋"/>
                <w:sz w:val="21"/>
                <w:szCs w:val="21"/>
              </w:rPr>
              <w:t>钢铁智能冶金技术</w:t>
            </w:r>
          </w:p>
        </w:tc>
        <w:tc>
          <w:tcPr>
            <w:tcW w:w="1514" w:type="dxa"/>
            <w:tcBorders>
              <w:top w:val="single" w:color="000000" w:sz="6" w:space="0"/>
              <w:left w:val="single" w:color="000000" w:sz="6" w:space="0"/>
              <w:bottom w:val="single" w:color="000000" w:sz="6" w:space="0"/>
              <w:right w:val="single" w:color="000000" w:sz="6" w:space="0"/>
            </w:tcBorders>
            <w:shd w:val="clear" w:color="000000" w:fill="FFFFFF"/>
            <w:tcMar>
              <w:top w:w="30" w:type="dxa"/>
              <w:left w:w="45" w:type="dxa"/>
              <w:bottom w:w="30" w:type="dxa"/>
              <w:right w:w="45" w:type="dxa"/>
            </w:tcMar>
            <w:vAlign w:val="center"/>
          </w:tcPr>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华文仿宋" w:hAnsi="华文仿宋" w:eastAsia="华文仿宋" w:cs="华文仿宋"/>
                <w:sz w:val="21"/>
                <w:szCs w:val="21"/>
              </w:rPr>
            </w:pPr>
            <w:r>
              <w:rPr>
                <w:rFonts w:hint="eastAsia" w:ascii="华文仿宋" w:hAnsi="华文仿宋" w:eastAsia="华文仿宋" w:cs="华文仿宋"/>
                <w:sz w:val="21"/>
                <w:szCs w:val="21"/>
              </w:rPr>
              <w:t>冶金基础技能</w:t>
            </w:r>
          </w:p>
        </w:tc>
        <w:tc>
          <w:tcPr>
            <w:tcW w:w="1134"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华文仿宋" w:hAnsi="华文仿宋" w:eastAsia="华文仿宋" w:cs="华文仿宋"/>
                <w:sz w:val="21"/>
                <w:szCs w:val="21"/>
              </w:rPr>
            </w:pPr>
          </w:p>
        </w:tc>
        <w:tc>
          <w:tcPr>
            <w:tcW w:w="2958" w:type="dxa"/>
            <w:tcBorders>
              <w:top w:val="single" w:color="000000" w:sz="6" w:space="0"/>
              <w:left w:val="single" w:color="000000" w:sz="6" w:space="0"/>
              <w:bottom w:val="single" w:color="000000" w:sz="6" w:space="0"/>
              <w:right w:val="single" w:color="000000" w:sz="6" w:space="0"/>
            </w:tcBorders>
            <w:shd w:val="clear" w:color="000000" w:fill="FFFFFF"/>
            <w:tcMar>
              <w:top w:w="30" w:type="dxa"/>
              <w:left w:w="45" w:type="dxa"/>
              <w:bottom w:w="30" w:type="dxa"/>
              <w:right w:w="45" w:type="dxa"/>
            </w:tcMar>
            <w:vAlign w:val="center"/>
          </w:tcPr>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华文仿宋" w:hAnsi="华文仿宋" w:eastAsia="华文仿宋" w:cs="华文仿宋"/>
                <w:sz w:val="21"/>
                <w:szCs w:val="21"/>
              </w:rPr>
            </w:pPr>
            <w:r>
              <w:rPr>
                <w:rFonts w:hint="eastAsia" w:ascii="华文仿宋" w:hAnsi="华文仿宋" w:eastAsia="华文仿宋" w:cs="华文仿宋"/>
                <w:sz w:val="21"/>
                <w:szCs w:val="21"/>
              </w:rPr>
              <w:t>冶金基础技能测试、职业素养面试。</w:t>
            </w:r>
          </w:p>
        </w:tc>
        <w:tc>
          <w:tcPr>
            <w:tcW w:w="1017" w:type="dxa"/>
            <w:tcBorders>
              <w:top w:val="single" w:color="000000" w:sz="6" w:space="0"/>
              <w:left w:val="single" w:color="000000" w:sz="6" w:space="0"/>
              <w:bottom w:val="single" w:color="000000" w:sz="6" w:space="0"/>
              <w:right w:val="single" w:color="000000" w:sz="6" w:space="0"/>
            </w:tcBorders>
            <w:shd w:val="clear" w:color="000000" w:fill="FFFFFF"/>
            <w:tcMar>
              <w:top w:w="30" w:type="dxa"/>
              <w:left w:w="45" w:type="dxa"/>
              <w:bottom w:w="30" w:type="dxa"/>
              <w:right w:w="45" w:type="dxa"/>
            </w:tcMar>
            <w:vAlign w:val="center"/>
          </w:tcPr>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华文仿宋" w:hAnsi="华文仿宋" w:eastAsia="华文仿宋" w:cs="华文仿宋"/>
                <w:sz w:val="21"/>
                <w:szCs w:val="21"/>
              </w:rPr>
            </w:pPr>
            <w:r>
              <w:rPr>
                <w:rFonts w:hint="eastAsia" w:ascii="华文仿宋" w:hAnsi="华文仿宋" w:eastAsia="华文仿宋" w:cs="华文仿宋"/>
                <w:sz w:val="21"/>
                <w:szCs w:val="21"/>
              </w:rPr>
              <w:t>200分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7" w:hRule="atLeast"/>
          <w:jc w:val="center"/>
        </w:trPr>
        <w:tc>
          <w:tcPr>
            <w:tcW w:w="1792" w:type="dxa"/>
            <w:tcBorders>
              <w:top w:val="single" w:color="000000" w:sz="6" w:space="0"/>
              <w:left w:val="single" w:color="000000" w:sz="6" w:space="0"/>
              <w:bottom w:val="single" w:color="000000" w:sz="6" w:space="0"/>
              <w:right w:val="single" w:color="000000" w:sz="6" w:space="0"/>
            </w:tcBorders>
            <w:shd w:val="clear" w:color="000000" w:fill="FFFFFF"/>
            <w:tcMar>
              <w:top w:w="30" w:type="dxa"/>
              <w:left w:w="45" w:type="dxa"/>
              <w:bottom w:w="30" w:type="dxa"/>
              <w:right w:w="45" w:type="dxa"/>
            </w:tcMar>
            <w:vAlign w:val="center"/>
          </w:tcPr>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华文仿宋" w:hAnsi="华文仿宋" w:eastAsia="华文仿宋" w:cs="华文仿宋"/>
                <w:sz w:val="21"/>
                <w:szCs w:val="21"/>
              </w:rPr>
            </w:pPr>
            <w:r>
              <w:rPr>
                <w:rFonts w:hint="eastAsia" w:ascii="华文仿宋" w:hAnsi="华文仿宋" w:eastAsia="华文仿宋" w:cs="华文仿宋"/>
                <w:sz w:val="21"/>
                <w:szCs w:val="21"/>
              </w:rPr>
              <w:t>智能控制技术</w:t>
            </w:r>
          </w:p>
        </w:tc>
        <w:tc>
          <w:tcPr>
            <w:tcW w:w="1514" w:type="dxa"/>
            <w:tcBorders>
              <w:top w:val="single" w:color="000000" w:sz="6" w:space="0"/>
              <w:left w:val="single" w:color="000000" w:sz="6" w:space="0"/>
              <w:bottom w:val="single" w:color="000000" w:sz="6" w:space="0"/>
              <w:right w:val="single" w:color="000000" w:sz="6" w:space="0"/>
            </w:tcBorders>
            <w:shd w:val="clear" w:color="000000" w:fill="FFFFFF"/>
            <w:tcMar>
              <w:top w:w="30" w:type="dxa"/>
              <w:left w:w="45" w:type="dxa"/>
              <w:bottom w:w="30" w:type="dxa"/>
              <w:right w:w="45" w:type="dxa"/>
            </w:tcMar>
            <w:vAlign w:val="center"/>
          </w:tcPr>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华文仿宋" w:hAnsi="华文仿宋" w:eastAsia="华文仿宋" w:cs="华文仿宋"/>
                <w:sz w:val="21"/>
                <w:szCs w:val="21"/>
              </w:rPr>
            </w:pPr>
            <w:r>
              <w:rPr>
                <w:rFonts w:hint="eastAsia" w:ascii="华文仿宋" w:hAnsi="华文仿宋" w:eastAsia="华文仿宋" w:cs="华文仿宋"/>
                <w:sz w:val="21"/>
                <w:szCs w:val="21"/>
              </w:rPr>
              <w:t>电路仿真设计与测试</w:t>
            </w:r>
          </w:p>
        </w:tc>
        <w:tc>
          <w:tcPr>
            <w:tcW w:w="1134"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华文仿宋" w:hAnsi="华文仿宋" w:eastAsia="华文仿宋" w:cs="华文仿宋"/>
                <w:sz w:val="21"/>
                <w:szCs w:val="21"/>
              </w:rPr>
            </w:pPr>
          </w:p>
        </w:tc>
        <w:tc>
          <w:tcPr>
            <w:tcW w:w="2958" w:type="dxa"/>
            <w:tcBorders>
              <w:top w:val="single" w:color="000000" w:sz="6" w:space="0"/>
              <w:left w:val="single" w:color="000000" w:sz="6" w:space="0"/>
              <w:bottom w:val="single" w:color="000000" w:sz="6" w:space="0"/>
              <w:right w:val="single" w:color="000000" w:sz="6" w:space="0"/>
            </w:tcBorders>
            <w:shd w:val="clear" w:color="000000" w:fill="FFFFFF"/>
            <w:tcMar>
              <w:top w:w="30" w:type="dxa"/>
              <w:left w:w="45" w:type="dxa"/>
              <w:bottom w:w="30" w:type="dxa"/>
              <w:right w:w="45" w:type="dxa"/>
            </w:tcMar>
            <w:vAlign w:val="center"/>
          </w:tcPr>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华文仿宋" w:hAnsi="华文仿宋" w:eastAsia="华文仿宋" w:cs="华文仿宋"/>
                <w:sz w:val="21"/>
                <w:szCs w:val="21"/>
              </w:rPr>
            </w:pPr>
            <w:r>
              <w:rPr>
                <w:rFonts w:hint="eastAsia" w:ascii="华文仿宋" w:hAnsi="华文仿宋" w:eastAsia="华文仿宋" w:cs="华文仿宋"/>
                <w:sz w:val="21"/>
                <w:szCs w:val="21"/>
              </w:rPr>
              <w:t>电子电路仿真设计与测试、职业素养面试。</w:t>
            </w:r>
          </w:p>
        </w:tc>
        <w:tc>
          <w:tcPr>
            <w:tcW w:w="1017" w:type="dxa"/>
            <w:tcBorders>
              <w:top w:val="single" w:color="000000" w:sz="6" w:space="0"/>
              <w:left w:val="single" w:color="000000" w:sz="6" w:space="0"/>
              <w:bottom w:val="single" w:color="000000" w:sz="6" w:space="0"/>
              <w:right w:val="single" w:color="000000" w:sz="6" w:space="0"/>
            </w:tcBorders>
            <w:shd w:val="clear" w:color="000000" w:fill="FFFFFF"/>
            <w:tcMar>
              <w:top w:w="30" w:type="dxa"/>
              <w:left w:w="45" w:type="dxa"/>
              <w:bottom w:w="30" w:type="dxa"/>
              <w:right w:w="45" w:type="dxa"/>
            </w:tcMar>
            <w:vAlign w:val="center"/>
          </w:tcPr>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华文仿宋" w:hAnsi="华文仿宋" w:eastAsia="华文仿宋" w:cs="华文仿宋"/>
                <w:sz w:val="21"/>
                <w:szCs w:val="21"/>
              </w:rPr>
            </w:pPr>
            <w:r>
              <w:rPr>
                <w:rFonts w:hint="eastAsia" w:ascii="华文仿宋" w:hAnsi="华文仿宋" w:eastAsia="华文仿宋" w:cs="华文仿宋"/>
                <w:sz w:val="21"/>
                <w:szCs w:val="21"/>
              </w:rPr>
              <w:t>200分</w:t>
            </w:r>
          </w:p>
        </w:tc>
      </w:tr>
    </w:tbl>
    <w:p>
      <w:pPr>
        <w:keepNext w:val="0"/>
        <w:keepLines w:val="0"/>
        <w:pageBreakBefore w:val="0"/>
        <w:widowControl/>
        <w:kinsoku/>
        <w:overflowPunct/>
        <w:topLinePunct w:val="0"/>
        <w:autoSpaceDE/>
        <w:autoSpaceDN/>
        <w:bidi w:val="0"/>
        <w:adjustRightInd/>
        <w:snapToGrid/>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考试时间：具体时间在学院官网通知（待定）</w:t>
      </w:r>
    </w:p>
    <w:p>
      <w:pPr>
        <w:keepNext w:val="0"/>
        <w:keepLines w:val="0"/>
        <w:pageBreakBefore w:val="0"/>
        <w:widowControl/>
        <w:kinsoku/>
        <w:overflowPunct/>
        <w:topLinePunct w:val="0"/>
        <w:autoSpaceDE/>
        <w:autoSpaceDN/>
        <w:bidi w:val="0"/>
        <w:adjustRightInd/>
        <w:snapToGrid/>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rPr>
        <w:t>录取</w:t>
      </w:r>
    </w:p>
    <w:p>
      <w:pPr>
        <w:keepNext w:val="0"/>
        <w:keepLines w:val="0"/>
        <w:pageBreakBefore w:val="0"/>
        <w:widowControl/>
        <w:kinsoku/>
        <w:overflowPunct/>
        <w:topLinePunct w:val="0"/>
        <w:autoSpaceDE/>
        <w:autoSpaceDN/>
        <w:bidi w:val="0"/>
        <w:adjustRightInd/>
        <w:snapToGrid/>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录取原则</w:t>
      </w:r>
    </w:p>
    <w:p>
      <w:pPr>
        <w:keepNext w:val="0"/>
        <w:keepLines w:val="0"/>
        <w:pageBreakBefore w:val="0"/>
        <w:widowControl/>
        <w:kinsoku/>
        <w:overflowPunct/>
        <w:topLinePunct w:val="0"/>
        <w:autoSpaceDE/>
        <w:autoSpaceDN/>
        <w:bidi w:val="0"/>
        <w:adjustRightInd/>
        <w:snapToGrid/>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退役军人的录取以“职业技能测试”成绩为主要录取依据，参照专业招生计划制定控制分数线择优录取。</w:t>
      </w:r>
    </w:p>
    <w:p>
      <w:pPr>
        <w:keepNext w:val="0"/>
        <w:keepLines w:val="0"/>
        <w:pageBreakBefore w:val="0"/>
        <w:widowControl/>
        <w:numPr>
          <w:numId w:val="0"/>
        </w:numPr>
        <w:kinsoku/>
        <w:overflowPunct/>
        <w:topLinePunct w:val="0"/>
        <w:autoSpaceDE/>
        <w:autoSpaceDN/>
        <w:bidi w:val="0"/>
        <w:adjustRightInd/>
        <w:snapToGrid/>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录取办法</w:t>
      </w:r>
    </w:p>
    <w:p>
      <w:pPr>
        <w:keepNext w:val="0"/>
        <w:keepLines w:val="0"/>
        <w:pageBreakBefore w:val="0"/>
        <w:widowControl/>
        <w:numPr>
          <w:numId w:val="0"/>
        </w:numPr>
        <w:kinsoku/>
        <w:overflowPunct/>
        <w:topLinePunct w:val="0"/>
        <w:autoSpaceDE/>
        <w:autoSpaceDN/>
        <w:bidi w:val="0"/>
        <w:adjustRightInd/>
        <w:snapToGrid/>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按照《202</w:t>
      </w: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rPr>
        <w:t>年天津市高职院校分类考试招生实施办法》的要求，满足我院录取标准的考生，资格审查，最终确定录取名单，并向社会公布各专业录取原则和录取最低分，并公示录取名单，学院纪检办对整体的招生过程实施全程监督。</w:t>
      </w:r>
    </w:p>
    <w:p>
      <w:pPr>
        <w:keepNext w:val="0"/>
        <w:keepLines w:val="0"/>
        <w:pageBreakBefore w:val="0"/>
        <w:widowControl/>
        <w:numPr>
          <w:ilvl w:val="0"/>
          <w:numId w:val="1"/>
        </w:numPr>
        <w:kinsoku/>
        <w:overflowPunct/>
        <w:topLinePunct w:val="0"/>
        <w:autoSpaceDE/>
        <w:autoSpaceDN/>
        <w:bidi w:val="0"/>
        <w:adjustRightInd/>
        <w:snapToGrid/>
        <w:ind w:left="0" w:leftChars="0"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注意问题</w:t>
      </w:r>
    </w:p>
    <w:p>
      <w:pPr>
        <w:keepNext w:val="0"/>
        <w:keepLines w:val="0"/>
        <w:pageBreakBefore w:val="0"/>
        <w:widowControl/>
        <w:numPr>
          <w:numId w:val="0"/>
        </w:numPr>
        <w:kinsoku/>
        <w:overflowPunct/>
        <w:topLinePunct w:val="0"/>
        <w:autoSpaceDE/>
        <w:autoSpaceDN/>
        <w:bidi w:val="0"/>
        <w:adjustRightInd/>
        <w:snapToGrid/>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在招生咨询过程中天津工业职业学院咨询人员的意见、建议仅作为考生填报志愿的参考，不属学校录取承诺；同时学校不委托任何中介机构或个人进行招生录取活动，请谨防招生诈骗，任何承诺与我校无关。</w:t>
      </w:r>
    </w:p>
    <w:p>
      <w:pPr>
        <w:keepNext w:val="0"/>
        <w:keepLines w:val="0"/>
        <w:pageBreakBefore w:val="0"/>
        <w:widowControl/>
        <w:kinsoku/>
        <w:overflowPunct/>
        <w:topLinePunct w:val="0"/>
        <w:autoSpaceDE/>
        <w:autoSpaceDN/>
        <w:bidi w:val="0"/>
        <w:adjustRightInd/>
        <w:snapToGrid/>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四、</w:t>
      </w:r>
      <w:r>
        <w:rPr>
          <w:rFonts w:hint="eastAsia" w:ascii="华文仿宋" w:hAnsi="华文仿宋" w:eastAsia="华文仿宋" w:cs="华文仿宋"/>
          <w:sz w:val="30"/>
          <w:szCs w:val="30"/>
        </w:rPr>
        <w:t>后续管理</w:t>
      </w:r>
    </w:p>
    <w:p>
      <w:pPr>
        <w:keepNext w:val="0"/>
        <w:keepLines w:val="0"/>
        <w:pageBreakBefore w:val="0"/>
        <w:widowControl/>
        <w:kinsoku/>
        <w:overflowPunct/>
        <w:topLinePunct w:val="0"/>
        <w:autoSpaceDE/>
        <w:autoSpaceDN/>
        <w:bidi w:val="0"/>
        <w:adjustRightInd/>
        <w:snapToGrid/>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新生入学后，学校在三个月内按照国家招生规定对其进行复查。复查合格者予以注册，取得学籍。复查不合格者，由学校区别情况予以处理，直至取消入学资格。</w:t>
      </w:r>
    </w:p>
    <w:p>
      <w:pPr>
        <w:keepNext w:val="0"/>
        <w:keepLines w:val="0"/>
        <w:pageBreakBefore w:val="0"/>
        <w:widowControl/>
        <w:kinsoku/>
        <w:overflowPunct/>
        <w:topLinePunct w:val="0"/>
        <w:autoSpaceDE/>
        <w:autoSpaceDN/>
        <w:bidi w:val="0"/>
        <w:adjustRightInd/>
        <w:snapToGrid/>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新生入学后，学院依据《天津工业职业学院学生管理细则》、《天津工业职业学院学籍管理规定》等规章制度进行管理，按人才培养方案对学生进行培养。</w:t>
      </w:r>
    </w:p>
    <w:p>
      <w:pPr>
        <w:keepNext w:val="0"/>
        <w:keepLines w:val="0"/>
        <w:pageBreakBefore w:val="0"/>
        <w:widowControl/>
        <w:kinsoku/>
        <w:overflowPunct/>
        <w:topLinePunct w:val="0"/>
        <w:autoSpaceDE/>
        <w:autoSpaceDN/>
        <w:bidi w:val="0"/>
        <w:adjustRightInd/>
        <w:snapToGrid/>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学院设有国家奖学金、国家励志奖学金、政府奖学金、国家助学金等，奖励德、智、体全面发展的优秀在校生。学院为贫困生开通国家助学贷款，提供勤工俭学岗位。</w:t>
      </w:r>
    </w:p>
    <w:p>
      <w:pPr>
        <w:keepNext w:val="0"/>
        <w:keepLines w:val="0"/>
        <w:pageBreakBefore w:val="0"/>
        <w:widowControl/>
        <w:kinsoku/>
        <w:overflowPunct/>
        <w:topLinePunct w:val="0"/>
        <w:autoSpaceDE/>
        <w:autoSpaceDN/>
        <w:bidi w:val="0"/>
        <w:adjustRightInd/>
        <w:snapToGrid/>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rPr>
        <w:t>学生修完人才培养方案规定的全部课程，成绩合格，准予毕业，颁发天津工业职业学院全日制普通高等学校专科毕业证书。</w:t>
      </w:r>
    </w:p>
    <w:p>
      <w:pPr>
        <w:keepNext w:val="0"/>
        <w:keepLines w:val="0"/>
        <w:pageBreakBefore w:val="0"/>
        <w:widowControl/>
        <w:kinsoku/>
        <w:overflowPunct/>
        <w:topLinePunct w:val="0"/>
        <w:autoSpaceDE/>
        <w:autoSpaceDN/>
        <w:bidi w:val="0"/>
        <w:adjustRightInd/>
        <w:snapToGrid/>
        <w:ind w:firstLine="600" w:firstLineChars="200"/>
        <w:textAlignment w:val="auto"/>
        <w:rPr>
          <w:rFonts w:hint="eastAsia" w:ascii="华文仿宋" w:hAnsi="华文仿宋" w:eastAsia="华文仿宋" w:cs="华文仿宋"/>
          <w:sz w:val="30"/>
          <w:szCs w:val="30"/>
          <w:lang w:val="en-US" w:eastAsia="zh-CN"/>
        </w:rPr>
      </w:pPr>
    </w:p>
    <w:sectPr>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黑体">
    <w:panose1 w:val="02000500000000000000"/>
    <w:charset w:val="86"/>
    <w:family w:val="auto"/>
    <w:pitch w:val="default"/>
    <w:sig w:usb0="A00002BF" w:usb1="38CF7CFA" w:usb2="00000016" w:usb3="00000000" w:csb0="00040001" w:csb1="00000000"/>
    <w:embedRegular r:id="rId1" w:fontKey="{BFAF67DB-CF96-4302-900E-7D402812FC29}"/>
  </w:font>
  <w:font w:name="方正仿宋_GB2312">
    <w:panose1 w:val="02000000000000000000"/>
    <w:charset w:val="86"/>
    <w:family w:val="auto"/>
    <w:pitch w:val="default"/>
    <w:sig w:usb0="A00002BF" w:usb1="184F6CFA" w:usb2="00000012" w:usb3="00000000" w:csb0="00040001" w:csb1="00000000"/>
    <w:embedRegular r:id="rId2" w:fontKey="{F8575452-8882-465B-B4CB-9DAF1DB8732F}"/>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embedRegular r:id="rId3" w:fontKey="{E34511CC-D428-419B-B5C7-4AAD8FE708C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E26BCB"/>
    <w:multiLevelType w:val="singleLevel"/>
    <w:tmpl w:val="14E26BC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M5Y2I2M2FiNDRlZDQzZWY5MGNjYWRmMWU3MzM1YjYifQ=="/>
  </w:docVars>
  <w:rsids>
    <w:rsidRoot w:val="00842348"/>
    <w:rsid w:val="003C5CDF"/>
    <w:rsid w:val="00532994"/>
    <w:rsid w:val="00842348"/>
    <w:rsid w:val="00B266DF"/>
    <w:rsid w:val="00C01535"/>
    <w:rsid w:val="00C8290F"/>
    <w:rsid w:val="00D35943"/>
    <w:rsid w:val="00E25A9E"/>
    <w:rsid w:val="02407D80"/>
    <w:rsid w:val="0BD20D1B"/>
    <w:rsid w:val="717B5557"/>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6"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6"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0" w:semiHidden="0" w:name="Strong"/>
    <w:lsdException w:qFormat="1" w:unhideWhenUsed="0" w:uiPriority="18"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8" w:semiHidden="0" w:name="Table Grid"/>
    <w:lsdException w:uiPriority="99"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jc w:val="both"/>
    </w:pPr>
    <w:rPr>
      <w:rFonts w:ascii="Calibri" w:hAnsi="Calibri" w:eastAsia="宋体" w:cs="Times New Roman"/>
      <w:sz w:val="21"/>
      <w:szCs w:val="21"/>
      <w:lang w:val="en-US" w:eastAsia="zh-CN" w:bidi="ar-SA"/>
    </w:rPr>
  </w:style>
  <w:style w:type="paragraph" w:styleId="2">
    <w:name w:val="heading 1"/>
    <w:qFormat/>
    <w:uiPriority w:val="7"/>
    <w:pPr>
      <w:jc w:val="both"/>
      <w:outlineLvl w:val="0"/>
    </w:pPr>
    <w:rPr>
      <w:rFonts w:ascii="Calibri" w:hAnsi="Calibri" w:eastAsia="宋体" w:cs="Times New Roman"/>
      <w:sz w:val="28"/>
      <w:szCs w:val="28"/>
      <w:lang w:val="en-US" w:eastAsia="zh-CN" w:bidi="ar-SA"/>
    </w:rPr>
  </w:style>
  <w:style w:type="paragraph" w:styleId="3">
    <w:name w:val="heading 2"/>
    <w:autoRedefine/>
    <w:qFormat/>
    <w:uiPriority w:val="8"/>
    <w:pPr>
      <w:jc w:val="both"/>
      <w:outlineLvl w:val="1"/>
    </w:pPr>
    <w:rPr>
      <w:rFonts w:ascii="Calibri" w:hAnsi="Calibri" w:eastAsia="宋体" w:cs="Times New Roman"/>
      <w:sz w:val="21"/>
      <w:szCs w:val="21"/>
      <w:lang w:val="en-US" w:eastAsia="zh-CN" w:bidi="ar-SA"/>
    </w:rPr>
  </w:style>
  <w:style w:type="paragraph" w:styleId="4">
    <w:name w:val="heading 3"/>
    <w:autoRedefine/>
    <w:qFormat/>
    <w:uiPriority w:val="9"/>
    <w:pPr>
      <w:ind w:left="1000" w:hanging="400"/>
      <w:jc w:val="both"/>
      <w:outlineLvl w:val="2"/>
    </w:pPr>
    <w:rPr>
      <w:rFonts w:ascii="Calibri" w:hAnsi="Calibri" w:eastAsia="宋体" w:cs="Times New Roman"/>
      <w:sz w:val="21"/>
      <w:szCs w:val="21"/>
      <w:lang w:val="en-US" w:eastAsia="zh-CN" w:bidi="ar-SA"/>
    </w:rPr>
  </w:style>
  <w:style w:type="paragraph" w:styleId="5">
    <w:name w:val="heading 4"/>
    <w:qFormat/>
    <w:uiPriority w:val="10"/>
    <w:pPr>
      <w:ind w:left="1200" w:hanging="400"/>
      <w:jc w:val="both"/>
      <w:outlineLvl w:val="3"/>
    </w:pPr>
    <w:rPr>
      <w:rFonts w:ascii="Calibri" w:hAnsi="Calibri" w:eastAsia="宋体" w:cs="Times New Roman"/>
      <w:b/>
      <w:sz w:val="21"/>
      <w:szCs w:val="21"/>
      <w:lang w:val="en-US" w:eastAsia="zh-CN" w:bidi="ar-SA"/>
    </w:rPr>
  </w:style>
  <w:style w:type="paragraph" w:styleId="6">
    <w:name w:val="heading 5"/>
    <w:autoRedefine/>
    <w:qFormat/>
    <w:uiPriority w:val="11"/>
    <w:pPr>
      <w:ind w:left="1400" w:hanging="400"/>
      <w:jc w:val="both"/>
      <w:outlineLvl w:val="4"/>
    </w:pPr>
    <w:rPr>
      <w:rFonts w:ascii="Calibri" w:hAnsi="Calibri" w:eastAsia="宋体" w:cs="Times New Roman"/>
      <w:sz w:val="21"/>
      <w:szCs w:val="21"/>
      <w:lang w:val="en-US" w:eastAsia="zh-CN" w:bidi="ar-SA"/>
    </w:rPr>
  </w:style>
  <w:style w:type="paragraph" w:styleId="7">
    <w:name w:val="heading 6"/>
    <w:autoRedefine/>
    <w:qFormat/>
    <w:uiPriority w:val="12"/>
    <w:pPr>
      <w:ind w:left="1600" w:hanging="400"/>
      <w:jc w:val="both"/>
      <w:outlineLvl w:val="5"/>
    </w:pPr>
    <w:rPr>
      <w:rFonts w:ascii="Calibri" w:hAnsi="Calibri" w:eastAsia="宋体" w:cs="Times New Roman"/>
      <w:b/>
      <w:sz w:val="21"/>
      <w:szCs w:val="21"/>
      <w:lang w:val="en-US" w:eastAsia="zh-CN" w:bidi="ar-SA"/>
    </w:rPr>
  </w:style>
  <w:style w:type="paragraph" w:styleId="8">
    <w:name w:val="heading 7"/>
    <w:autoRedefine/>
    <w:qFormat/>
    <w:uiPriority w:val="13"/>
    <w:pPr>
      <w:ind w:left="1800" w:hanging="400"/>
      <w:jc w:val="both"/>
      <w:outlineLvl w:val="6"/>
    </w:pPr>
    <w:rPr>
      <w:rFonts w:ascii="Calibri" w:hAnsi="Calibri" w:eastAsia="宋体" w:cs="Times New Roman"/>
      <w:sz w:val="21"/>
      <w:szCs w:val="21"/>
      <w:lang w:val="en-US" w:eastAsia="zh-CN" w:bidi="ar-SA"/>
    </w:rPr>
  </w:style>
  <w:style w:type="paragraph" w:styleId="9">
    <w:name w:val="heading 8"/>
    <w:autoRedefine/>
    <w:qFormat/>
    <w:uiPriority w:val="14"/>
    <w:pPr>
      <w:ind w:left="2000" w:hanging="400"/>
      <w:jc w:val="both"/>
      <w:outlineLvl w:val="7"/>
    </w:pPr>
    <w:rPr>
      <w:rFonts w:ascii="Calibri" w:hAnsi="Calibri" w:eastAsia="宋体" w:cs="Times New Roman"/>
      <w:sz w:val="21"/>
      <w:szCs w:val="21"/>
      <w:lang w:val="en-US" w:eastAsia="zh-CN" w:bidi="ar-SA"/>
    </w:rPr>
  </w:style>
  <w:style w:type="paragraph" w:styleId="10">
    <w:name w:val="heading 9"/>
    <w:autoRedefine/>
    <w:qFormat/>
    <w:uiPriority w:val="15"/>
    <w:pPr>
      <w:ind w:left="2200" w:hanging="400"/>
      <w:jc w:val="both"/>
      <w:outlineLvl w:val="8"/>
    </w:pPr>
    <w:rPr>
      <w:rFonts w:ascii="Calibri" w:hAnsi="Calibri" w:eastAsia="宋体" w:cs="Times New Roman"/>
      <w:sz w:val="21"/>
      <w:szCs w:val="21"/>
      <w:lang w:val="en-US" w:eastAsia="zh-CN" w:bidi="ar-SA"/>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11">
    <w:name w:val="toc 7"/>
    <w:autoRedefine/>
    <w:unhideWhenUsed/>
    <w:qFormat/>
    <w:uiPriority w:val="34"/>
    <w:pPr>
      <w:ind w:left="2550"/>
      <w:jc w:val="both"/>
    </w:pPr>
    <w:rPr>
      <w:rFonts w:ascii="Calibri" w:hAnsi="Calibri" w:eastAsia="宋体" w:cs="Times New Roman"/>
      <w:sz w:val="21"/>
      <w:szCs w:val="21"/>
      <w:lang w:val="en-US" w:eastAsia="zh-CN" w:bidi="ar-SA"/>
    </w:rPr>
  </w:style>
  <w:style w:type="paragraph" w:styleId="12">
    <w:name w:val="toc 5"/>
    <w:autoRedefine/>
    <w:unhideWhenUsed/>
    <w:qFormat/>
    <w:uiPriority w:val="32"/>
    <w:pPr>
      <w:ind w:left="1700"/>
      <w:jc w:val="both"/>
    </w:pPr>
    <w:rPr>
      <w:rFonts w:ascii="Calibri" w:hAnsi="Calibri" w:eastAsia="宋体" w:cs="Times New Roman"/>
      <w:sz w:val="21"/>
      <w:szCs w:val="21"/>
      <w:lang w:val="en-US" w:eastAsia="zh-CN" w:bidi="ar-SA"/>
    </w:rPr>
  </w:style>
  <w:style w:type="paragraph" w:styleId="13">
    <w:name w:val="toc 3"/>
    <w:autoRedefine/>
    <w:unhideWhenUsed/>
    <w:qFormat/>
    <w:uiPriority w:val="30"/>
    <w:pPr>
      <w:ind w:left="850"/>
      <w:jc w:val="both"/>
    </w:pPr>
    <w:rPr>
      <w:rFonts w:ascii="Calibri" w:hAnsi="Calibri" w:eastAsia="宋体" w:cs="Times New Roman"/>
      <w:sz w:val="21"/>
      <w:szCs w:val="21"/>
      <w:lang w:val="en-US" w:eastAsia="zh-CN" w:bidi="ar-SA"/>
    </w:rPr>
  </w:style>
  <w:style w:type="paragraph" w:styleId="14">
    <w:name w:val="toc 8"/>
    <w:autoRedefine/>
    <w:unhideWhenUsed/>
    <w:qFormat/>
    <w:uiPriority w:val="35"/>
    <w:pPr>
      <w:ind w:left="2975"/>
      <w:jc w:val="both"/>
    </w:pPr>
    <w:rPr>
      <w:rFonts w:ascii="Calibri" w:hAnsi="Calibri" w:eastAsia="宋体" w:cs="Times New Roman"/>
      <w:sz w:val="21"/>
      <w:szCs w:val="21"/>
      <w:lang w:val="en-US" w:eastAsia="zh-CN" w:bidi="ar-SA"/>
    </w:rPr>
  </w:style>
  <w:style w:type="paragraph" w:styleId="15">
    <w:name w:val="footer"/>
    <w:basedOn w:val="1"/>
    <w:link w:val="42"/>
    <w:autoRedefine/>
    <w:unhideWhenUsed/>
    <w:qFormat/>
    <w:uiPriority w:val="0"/>
    <w:pPr>
      <w:tabs>
        <w:tab w:val="center" w:pos="4153"/>
        <w:tab w:val="right" w:pos="8306"/>
      </w:tabs>
    </w:pPr>
    <w:rPr>
      <w:sz w:val="18"/>
      <w:szCs w:val="18"/>
    </w:rPr>
  </w:style>
  <w:style w:type="paragraph" w:styleId="16">
    <w:name w:val="header"/>
    <w:basedOn w:val="1"/>
    <w:link w:val="41"/>
    <w:autoRedefine/>
    <w:unhideWhenUsed/>
    <w:qFormat/>
    <w:uiPriority w:val="0"/>
    <w:pPr>
      <w:tabs>
        <w:tab w:val="center" w:pos="4153"/>
        <w:tab w:val="right" w:pos="8306"/>
      </w:tabs>
      <w:jc w:val="center"/>
    </w:pPr>
    <w:rPr>
      <w:sz w:val="18"/>
      <w:szCs w:val="18"/>
    </w:rPr>
  </w:style>
  <w:style w:type="paragraph" w:styleId="17">
    <w:name w:val="toc 1"/>
    <w:autoRedefine/>
    <w:unhideWhenUsed/>
    <w:qFormat/>
    <w:uiPriority w:val="28"/>
    <w:pPr>
      <w:jc w:val="both"/>
    </w:pPr>
    <w:rPr>
      <w:rFonts w:ascii="Calibri" w:hAnsi="Calibri" w:eastAsia="宋体" w:cs="Times New Roman"/>
      <w:sz w:val="21"/>
      <w:szCs w:val="21"/>
      <w:lang w:val="en-US" w:eastAsia="zh-CN" w:bidi="ar-SA"/>
    </w:rPr>
  </w:style>
  <w:style w:type="paragraph" w:styleId="18">
    <w:name w:val="toc 4"/>
    <w:autoRedefine/>
    <w:unhideWhenUsed/>
    <w:qFormat/>
    <w:uiPriority w:val="31"/>
    <w:pPr>
      <w:ind w:left="1275"/>
      <w:jc w:val="both"/>
    </w:pPr>
    <w:rPr>
      <w:rFonts w:ascii="Calibri" w:hAnsi="Calibri" w:eastAsia="宋体" w:cs="Times New Roman"/>
      <w:sz w:val="21"/>
      <w:szCs w:val="21"/>
      <w:lang w:val="en-US" w:eastAsia="zh-CN" w:bidi="ar-SA"/>
    </w:rPr>
  </w:style>
  <w:style w:type="paragraph" w:styleId="19">
    <w:name w:val="Subtitle"/>
    <w:autoRedefine/>
    <w:qFormat/>
    <w:uiPriority w:val="16"/>
    <w:pPr>
      <w:jc w:val="center"/>
    </w:pPr>
    <w:rPr>
      <w:rFonts w:ascii="Calibri" w:hAnsi="Calibri" w:eastAsia="宋体" w:cs="Times New Roman"/>
      <w:sz w:val="24"/>
      <w:szCs w:val="24"/>
      <w:lang w:val="en-US" w:eastAsia="zh-CN" w:bidi="ar-SA"/>
    </w:rPr>
  </w:style>
  <w:style w:type="paragraph" w:styleId="20">
    <w:name w:val="toc 6"/>
    <w:autoRedefine/>
    <w:unhideWhenUsed/>
    <w:qFormat/>
    <w:uiPriority w:val="33"/>
    <w:pPr>
      <w:ind w:left="2125"/>
      <w:jc w:val="both"/>
    </w:pPr>
    <w:rPr>
      <w:rFonts w:ascii="Calibri" w:hAnsi="Calibri" w:eastAsia="宋体" w:cs="Times New Roman"/>
      <w:sz w:val="21"/>
      <w:szCs w:val="21"/>
      <w:lang w:val="en-US" w:eastAsia="zh-CN" w:bidi="ar-SA"/>
    </w:rPr>
  </w:style>
  <w:style w:type="paragraph" w:styleId="21">
    <w:name w:val="toc 2"/>
    <w:autoRedefine/>
    <w:unhideWhenUsed/>
    <w:qFormat/>
    <w:uiPriority w:val="29"/>
    <w:pPr>
      <w:ind w:left="425"/>
      <w:jc w:val="both"/>
    </w:pPr>
    <w:rPr>
      <w:rFonts w:ascii="Calibri" w:hAnsi="Calibri" w:eastAsia="宋体" w:cs="Times New Roman"/>
      <w:sz w:val="21"/>
      <w:szCs w:val="21"/>
      <w:lang w:val="en-US" w:eastAsia="zh-CN" w:bidi="ar-SA"/>
    </w:rPr>
  </w:style>
  <w:style w:type="paragraph" w:styleId="22">
    <w:name w:val="toc 9"/>
    <w:autoRedefine/>
    <w:unhideWhenUsed/>
    <w:qFormat/>
    <w:uiPriority w:val="36"/>
    <w:pPr>
      <w:ind w:left="3400"/>
      <w:jc w:val="both"/>
    </w:pPr>
    <w:rPr>
      <w:rFonts w:ascii="Calibri" w:hAnsi="Calibri" w:eastAsia="宋体" w:cs="Times New Roman"/>
      <w:sz w:val="21"/>
      <w:szCs w:val="21"/>
      <w:lang w:val="en-US" w:eastAsia="zh-CN" w:bidi="ar-SA"/>
    </w:rPr>
  </w:style>
  <w:style w:type="paragraph" w:styleId="23">
    <w:name w:val="Normal (Web)"/>
    <w:basedOn w:val="1"/>
    <w:autoRedefine/>
    <w:semiHidden/>
    <w:unhideWhenUsed/>
    <w:qFormat/>
    <w:uiPriority w:val="0"/>
    <w:rPr>
      <w:rFonts w:ascii="宋体" w:hAnsi="宋体"/>
      <w:sz w:val="24"/>
      <w:szCs w:val="24"/>
    </w:rPr>
  </w:style>
  <w:style w:type="paragraph" w:styleId="24">
    <w:name w:val="Title"/>
    <w:autoRedefine/>
    <w:qFormat/>
    <w:uiPriority w:val="6"/>
    <w:pPr>
      <w:jc w:val="center"/>
    </w:pPr>
    <w:rPr>
      <w:rFonts w:ascii="Calibri" w:hAnsi="Calibri" w:eastAsia="宋体" w:cs="Times New Roman"/>
      <w:b/>
      <w:sz w:val="32"/>
      <w:szCs w:val="32"/>
      <w:lang w:val="en-US" w:eastAsia="zh-CN" w:bidi="ar-SA"/>
    </w:rPr>
  </w:style>
  <w:style w:type="table" w:styleId="26">
    <w:name w:val="Table Grid"/>
    <w:basedOn w:val="25"/>
    <w:autoRedefine/>
    <w:qFormat/>
    <w:uiPriority w:val="3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20"/>
    <w:rPr>
      <w:b/>
      <w:w w:val="100"/>
      <w:sz w:val="20"/>
      <w:szCs w:val="20"/>
      <w:shd w:val="clear" w:color="auto" w:fill="auto"/>
    </w:rPr>
  </w:style>
  <w:style w:type="character" w:styleId="29">
    <w:name w:val="Emphasis"/>
    <w:autoRedefine/>
    <w:qFormat/>
    <w:uiPriority w:val="18"/>
    <w:rPr>
      <w:i/>
      <w:w w:val="100"/>
      <w:sz w:val="21"/>
      <w:szCs w:val="21"/>
      <w:shd w:val="clear" w:color="auto" w:fill="auto"/>
    </w:rPr>
  </w:style>
  <w:style w:type="character" w:styleId="30">
    <w:name w:val="Hyperlink"/>
    <w:basedOn w:val="27"/>
    <w:autoRedefine/>
    <w:semiHidden/>
    <w:unhideWhenUsed/>
    <w:qFormat/>
    <w:uiPriority w:val="0"/>
    <w:rPr>
      <w:color w:val="0000FF"/>
      <w:w w:val="100"/>
      <w:sz w:val="20"/>
      <w:szCs w:val="20"/>
      <w:u w:val="single"/>
      <w:shd w:val="clear" w:color="auto" w:fill="auto"/>
    </w:rPr>
  </w:style>
  <w:style w:type="paragraph" w:styleId="31">
    <w:name w:val="No Spacing"/>
    <w:autoRedefine/>
    <w:qFormat/>
    <w:uiPriority w:val="5"/>
    <w:pPr>
      <w:jc w:val="both"/>
    </w:pPr>
    <w:rPr>
      <w:rFonts w:ascii="Calibri" w:hAnsi="Calibri" w:eastAsia="宋体" w:cs="Times New Roman"/>
      <w:sz w:val="21"/>
      <w:szCs w:val="21"/>
      <w:lang w:val="en-US" w:eastAsia="zh-CN" w:bidi="ar-SA"/>
    </w:rPr>
  </w:style>
  <w:style w:type="character" w:customStyle="1" w:styleId="32">
    <w:name w:val="Subtle Emphasis"/>
    <w:autoRedefine/>
    <w:qFormat/>
    <w:uiPriority w:val="17"/>
    <w:rPr>
      <w:i/>
      <w:color w:val="404040"/>
      <w:w w:val="100"/>
      <w:sz w:val="21"/>
      <w:szCs w:val="21"/>
      <w:shd w:val="clear" w:color="auto" w:fill="auto"/>
    </w:rPr>
  </w:style>
  <w:style w:type="character" w:customStyle="1" w:styleId="33">
    <w:name w:val="Intense Emphasis"/>
    <w:autoRedefine/>
    <w:qFormat/>
    <w:uiPriority w:val="19"/>
    <w:rPr>
      <w:i/>
      <w:color w:val="5B9BD5"/>
      <w:w w:val="100"/>
      <w:sz w:val="21"/>
      <w:szCs w:val="21"/>
      <w:shd w:val="clear" w:color="auto" w:fill="auto"/>
    </w:rPr>
  </w:style>
  <w:style w:type="paragraph" w:styleId="34">
    <w:name w:val="Quote"/>
    <w:autoRedefine/>
    <w:qFormat/>
    <w:uiPriority w:val="21"/>
    <w:pPr>
      <w:ind w:left="864" w:right="864"/>
      <w:jc w:val="center"/>
    </w:pPr>
    <w:rPr>
      <w:rFonts w:ascii="Calibri" w:hAnsi="Calibri" w:eastAsia="宋体" w:cs="Times New Roman"/>
      <w:i/>
      <w:color w:val="404040"/>
      <w:sz w:val="21"/>
      <w:szCs w:val="21"/>
      <w:lang w:val="en-US" w:eastAsia="zh-CN" w:bidi="ar-SA"/>
    </w:rPr>
  </w:style>
  <w:style w:type="paragraph" w:styleId="35">
    <w:name w:val="Intense Quote"/>
    <w:autoRedefine/>
    <w:qFormat/>
    <w:uiPriority w:val="22"/>
    <w:pPr>
      <w:ind w:left="950" w:right="950"/>
      <w:jc w:val="center"/>
    </w:pPr>
    <w:rPr>
      <w:rFonts w:ascii="Calibri" w:hAnsi="Calibri" w:eastAsia="宋体" w:cs="Times New Roman"/>
      <w:i/>
      <w:color w:val="5B9BD5"/>
      <w:sz w:val="21"/>
      <w:szCs w:val="21"/>
      <w:lang w:val="en-US" w:eastAsia="zh-CN" w:bidi="ar-SA"/>
    </w:rPr>
  </w:style>
  <w:style w:type="character" w:customStyle="1" w:styleId="36">
    <w:name w:val="Subtle Reference"/>
    <w:autoRedefine/>
    <w:qFormat/>
    <w:uiPriority w:val="23"/>
    <w:rPr>
      <w:smallCaps/>
      <w:color w:val="5A5A5A"/>
      <w:w w:val="100"/>
      <w:sz w:val="21"/>
      <w:szCs w:val="21"/>
      <w:shd w:val="clear" w:color="auto" w:fill="auto"/>
    </w:rPr>
  </w:style>
  <w:style w:type="character" w:customStyle="1" w:styleId="37">
    <w:name w:val="Intense Reference"/>
    <w:autoRedefine/>
    <w:qFormat/>
    <w:uiPriority w:val="24"/>
    <w:rPr>
      <w:b/>
      <w:smallCaps/>
      <w:color w:val="5B9BD5"/>
      <w:w w:val="100"/>
      <w:sz w:val="21"/>
      <w:szCs w:val="21"/>
      <w:shd w:val="clear" w:color="auto" w:fill="auto"/>
    </w:rPr>
  </w:style>
  <w:style w:type="character" w:customStyle="1" w:styleId="38">
    <w:name w:val="Book Title"/>
    <w:autoRedefine/>
    <w:qFormat/>
    <w:uiPriority w:val="25"/>
    <w:rPr>
      <w:b/>
      <w:i/>
      <w:w w:val="100"/>
      <w:sz w:val="21"/>
      <w:szCs w:val="21"/>
      <w:shd w:val="clear" w:color="auto" w:fill="auto"/>
    </w:rPr>
  </w:style>
  <w:style w:type="paragraph" w:styleId="39">
    <w:name w:val="List Paragraph"/>
    <w:basedOn w:val="1"/>
    <w:autoRedefine/>
    <w:qFormat/>
    <w:uiPriority w:val="26"/>
    <w:pPr>
      <w:ind w:firstLine="420"/>
    </w:pPr>
  </w:style>
  <w:style w:type="paragraph" w:customStyle="1" w:styleId="40">
    <w:name w:val="TOC Heading"/>
    <w:autoRedefine/>
    <w:unhideWhenUsed/>
    <w:qFormat/>
    <w:uiPriority w:val="27"/>
    <w:rPr>
      <w:rFonts w:ascii="Calibri" w:hAnsi="Calibri" w:eastAsia="宋体" w:cs="Times New Roman"/>
      <w:color w:val="2E74B5"/>
      <w:sz w:val="32"/>
      <w:szCs w:val="32"/>
      <w:lang w:val="en-US" w:eastAsia="zh-CN" w:bidi="ar-SA"/>
    </w:rPr>
  </w:style>
  <w:style w:type="character" w:customStyle="1" w:styleId="41">
    <w:name w:val="页眉 Char"/>
    <w:basedOn w:val="27"/>
    <w:link w:val="16"/>
    <w:autoRedefine/>
    <w:qFormat/>
    <w:uiPriority w:val="0"/>
    <w:rPr>
      <w:w w:val="100"/>
      <w:sz w:val="18"/>
      <w:szCs w:val="18"/>
      <w:shd w:val="clear" w:color="auto" w:fill="auto"/>
    </w:rPr>
  </w:style>
  <w:style w:type="character" w:customStyle="1" w:styleId="42">
    <w:name w:val="页脚 Char"/>
    <w:basedOn w:val="27"/>
    <w:link w:val="15"/>
    <w:autoRedefine/>
    <w:qFormat/>
    <w:uiPriority w:val="0"/>
    <w:rPr>
      <w:w w:val="100"/>
      <w:sz w:val="18"/>
      <w:szCs w:val="18"/>
      <w:shd w:val="clear" w:color="auto" w:fill="auto"/>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656</Words>
  <Characters>3741</Characters>
  <Lines>31</Lines>
  <Paragraphs>8</Paragraphs>
  <TotalTime>18</TotalTime>
  <ScaleCrop>false</ScaleCrop>
  <LinksUpToDate>false</LinksUpToDate>
  <CharactersWithSpaces>4389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2023-02-13T02:37:00Z</dcterms:created>
  <dc:creator>dell</dc:creator>
  <cp:lastModifiedBy>。</cp:lastModifiedBy>
  <cp:lastPrinted>2024-03-07T08:04:10Z</cp:lastPrinted>
  <dcterms:modified xsi:type="dcterms:W3CDTF">2024-03-07T08:04:12Z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DA6BD7A3C3A541EB9B2FF3CC5BF8BFB5_12</vt:lpwstr>
  </property>
</Properties>
</file>